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Fonts w:hint="eastAsia" w:ascii="方正小标宋简体" w:hAnsi="方正小标宋简体" w:eastAsia="方正小标宋简体" w:cs="方正小标宋简体"/>
          <w:b w:val="0"/>
          <w:bCs/>
          <w:i w:val="0"/>
          <w:caps w:val="0"/>
          <w:color w:val="auto"/>
          <w:spacing w:val="0"/>
          <w:sz w:val="44"/>
          <w:szCs w:val="44"/>
          <w:shd w:val="clear" w:fill="FFFFFF"/>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Fonts w:hint="eastAsia" w:ascii="方正小标宋简体" w:hAnsi="方正小标宋简体" w:eastAsia="方正小标宋简体" w:cs="方正小标宋简体"/>
          <w:b w:val="0"/>
          <w:bCs/>
          <w:i w:val="0"/>
          <w:caps w:val="0"/>
          <w:color w:val="auto"/>
          <w:spacing w:val="-17"/>
          <w:sz w:val="44"/>
          <w:szCs w:val="44"/>
          <w:shd w:val="clear" w:fill="FFFFFF"/>
          <w:lang w:val="en-US" w:eastAsia="zh-CN"/>
        </w:rPr>
      </w:pPr>
      <w:r>
        <w:rPr>
          <w:rFonts w:hint="eastAsia" w:ascii="方正小标宋简体" w:hAnsi="方正小标宋简体" w:eastAsia="方正小标宋简体" w:cs="方正小标宋简体"/>
          <w:b w:val="0"/>
          <w:bCs/>
          <w:i w:val="0"/>
          <w:caps w:val="0"/>
          <w:color w:val="auto"/>
          <w:spacing w:val="-17"/>
          <w:sz w:val="44"/>
          <w:szCs w:val="44"/>
          <w:shd w:val="clear" w:fill="FFFFFF"/>
          <w:lang w:val="en-US" w:eastAsia="zh-CN"/>
        </w:rPr>
        <w:t>临清市商务和投资促进局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Fonts w:hint="eastAsia" w:ascii="方正小标宋简体" w:hAnsi="方正小标宋简体" w:eastAsia="方正小标宋简体" w:cs="方正小标宋简体"/>
          <w:b w:val="0"/>
          <w:bCs/>
          <w:i w:val="0"/>
          <w:caps w:val="0"/>
          <w:color w:val="auto"/>
          <w:spacing w:val="0"/>
          <w:sz w:val="44"/>
          <w:szCs w:val="44"/>
        </w:rPr>
      </w:pPr>
      <w:r>
        <w:rPr>
          <w:rFonts w:hint="eastAsia" w:ascii="方正小标宋简体" w:hAnsi="方正小标宋简体" w:eastAsia="方正小标宋简体" w:cs="方正小标宋简体"/>
          <w:b w:val="0"/>
          <w:bCs/>
          <w:i w:val="0"/>
          <w:caps w:val="0"/>
          <w:color w:val="auto"/>
          <w:spacing w:val="-17"/>
          <w:sz w:val="44"/>
          <w:szCs w:val="44"/>
          <w:shd w:val="clear" w:fill="FFFFFF"/>
          <w:lang w:val="en-US" w:eastAsia="zh-CN"/>
        </w:rPr>
        <w:t>2022年</w:t>
      </w:r>
      <w:r>
        <w:rPr>
          <w:rFonts w:hint="eastAsia" w:ascii="方正小标宋简体" w:hAnsi="方正小标宋简体" w:eastAsia="方正小标宋简体" w:cs="方正小标宋简体"/>
          <w:b w:val="0"/>
          <w:bCs/>
          <w:i w:val="0"/>
          <w:caps w:val="0"/>
          <w:color w:val="auto"/>
          <w:spacing w:val="-17"/>
          <w:sz w:val="44"/>
          <w:szCs w:val="44"/>
          <w:shd w:val="clear" w:fill="FFFFFF"/>
        </w:rPr>
        <w:t>政府信息公开工作</w:t>
      </w:r>
      <w:r>
        <w:rPr>
          <w:rFonts w:hint="eastAsia" w:ascii="方正小标宋简体" w:hAnsi="方正小标宋简体" w:eastAsia="方正小标宋简体" w:cs="方正小标宋简体"/>
          <w:b w:val="0"/>
          <w:bCs/>
          <w:i w:val="0"/>
          <w:caps w:val="0"/>
          <w:color w:val="auto"/>
          <w:spacing w:val="0"/>
          <w:sz w:val="44"/>
          <w:szCs w:val="44"/>
          <w:shd w:val="clear" w:fill="FFFFFF"/>
        </w:rPr>
        <w:t>年度报告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本报告根据《中华人民共和国政府信息公开条例》（以下简称《条例》）、《国务院办公厅政府信息与政务公开办公室关于印发〈中华人民共和国政府信息公开年度报告格式〉的通知》（国办公开办函〔2021〕30号）等文件要求编制而成。报告全文包括总体情况；主动公开政府信息的情况；收到和处理政府信息公开申请的情况；因政府信息公开工作被申请行政复议、提起行政诉讼的情况；政府信息公开工作存在的主要问题及改进情况、其他需要报告的事项等6个方面。报告中所列数据的统计期限自2022年1月1日起至2022年12月31日止。特向社会公布临清市商务和投资促进局2022年政府信息公开工作年度报告，接受社会公开监督。本报告的电子版可在临清市政府门户网站（http://www.linqing.gov.cn/）下载。</w:t>
      </w:r>
      <w:bookmarkStart w:id="10" w:name="_GoBack"/>
      <w:bookmarkEnd w:id="1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黑体" w:hAnsi="黑体" w:eastAsia="黑体" w:cs="黑体"/>
          <w:i w:val="0"/>
          <w:caps w:val="0"/>
          <w:color w:val="auto"/>
          <w:spacing w:val="0"/>
          <w:sz w:val="32"/>
          <w:szCs w:val="32"/>
        </w:rPr>
      </w:pPr>
      <w:r>
        <w:rPr>
          <w:rFonts w:hint="eastAsia" w:ascii="黑体" w:hAnsi="黑体" w:eastAsia="黑体" w:cs="黑体"/>
          <w:b/>
          <w:i w:val="0"/>
          <w:caps w:val="0"/>
          <w:color w:val="auto"/>
          <w:spacing w:val="0"/>
          <w:sz w:val="32"/>
          <w:szCs w:val="32"/>
          <w:shd w:val="clear" w:fill="FFFFFF"/>
        </w:rPr>
        <w:t>一、总体情况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2022年，临清市商务和投资促进局坚持以习近平新时代中国特色社会主义思想为指导，深入学习宣传贯彻党的二十大精神，深入贯彻落实《中华人民共和国政府信息公开条例》和上级关于全面推进政务公开的系列部署要求，坚持以公开为常态、不公开为例外的原则，加强领导，规范程序，不断提升政府信息公开的工作效率和服务水平，切实增强人民群众满意度、获得感。</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1.主动公开方面。</w:t>
      </w:r>
      <w:r>
        <w:rPr>
          <w:rFonts w:hint="eastAsia" w:ascii="仿宋_GB2312" w:hAnsi="仿宋_GB2312" w:eastAsia="仿宋_GB2312" w:cs="仿宋_GB2312"/>
          <w:color w:val="auto"/>
          <w:sz w:val="32"/>
          <w:szCs w:val="32"/>
          <w:lang w:val="en-US" w:eastAsia="zh-CN"/>
        </w:rPr>
        <w:t>2022年通过政府网站公开发布信息58条，“商务之窗”微信公众号发布信息324条，涉及外贸、外资、外经、商贸流通、市场秩序、市场体系建设等多个科室业务；及时发布“双随机一公开”检查事项相关内容；主动公开建议提案办理8件</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2.依申请公开工作方面。</w:t>
      </w:r>
      <w:r>
        <w:rPr>
          <w:rFonts w:hint="eastAsia" w:ascii="仿宋_GB2312" w:hAnsi="仿宋_GB2312" w:eastAsia="仿宋_GB2312" w:cs="仿宋_GB2312"/>
          <w:color w:val="auto"/>
          <w:sz w:val="32"/>
          <w:szCs w:val="32"/>
        </w:rPr>
        <w:t>2022年我局线上线下</w:t>
      </w:r>
      <w:r>
        <w:rPr>
          <w:rFonts w:hint="eastAsia" w:ascii="仿宋_GB2312" w:hAnsi="仿宋_GB2312" w:eastAsia="仿宋_GB2312" w:cs="仿宋_GB2312"/>
          <w:color w:val="auto"/>
          <w:sz w:val="32"/>
          <w:szCs w:val="32"/>
          <w:lang w:eastAsia="zh-CN"/>
        </w:rPr>
        <w:t>均未收到</w:t>
      </w:r>
      <w:r>
        <w:rPr>
          <w:rFonts w:hint="eastAsia" w:ascii="仿宋_GB2312" w:hAnsi="仿宋_GB2312" w:eastAsia="仿宋_GB2312" w:cs="仿宋_GB2312"/>
          <w:color w:val="auto"/>
          <w:sz w:val="32"/>
          <w:szCs w:val="32"/>
        </w:rPr>
        <w:t>依申请公开信件，</w:t>
      </w:r>
      <w:r>
        <w:rPr>
          <w:rFonts w:hint="eastAsia" w:ascii="仿宋_GB2312" w:hAnsi="仿宋_GB2312" w:eastAsia="仿宋_GB2312" w:cs="仿宋_GB2312"/>
          <w:color w:val="auto"/>
          <w:sz w:val="32"/>
          <w:szCs w:val="32"/>
          <w:lang w:eastAsia="zh-CN"/>
        </w:rPr>
        <w:t>也</w:t>
      </w:r>
      <w:r>
        <w:rPr>
          <w:rFonts w:hint="eastAsia" w:ascii="仿宋_GB2312" w:hAnsi="仿宋_GB2312" w:eastAsia="仿宋_GB2312" w:cs="仿宋_GB2312"/>
          <w:color w:val="auto"/>
          <w:sz w:val="32"/>
          <w:szCs w:val="32"/>
        </w:rPr>
        <w:t>无结转下年度办理信件。</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val="en-US" w:eastAsia="zh-CN"/>
        </w:rPr>
        <w:t>3.政府信息管理方面。</w:t>
      </w:r>
      <w:r>
        <w:rPr>
          <w:rFonts w:hint="eastAsia" w:ascii="仿宋_GB2312" w:hAnsi="仿宋_GB2312" w:eastAsia="仿宋_GB2312" w:cs="仿宋_GB2312"/>
          <w:color w:val="auto"/>
          <w:sz w:val="32"/>
          <w:szCs w:val="32"/>
        </w:rPr>
        <w:t>根据</w:t>
      </w:r>
      <w:r>
        <w:rPr>
          <w:rFonts w:hint="eastAsia" w:ascii="仿宋_GB2312" w:hAnsi="仿宋_GB2312" w:eastAsia="仿宋_GB2312" w:cs="仿宋_GB2312"/>
          <w:color w:val="auto"/>
          <w:sz w:val="32"/>
          <w:szCs w:val="32"/>
          <w:lang w:eastAsia="zh-CN"/>
        </w:rPr>
        <w:t>上级</w:t>
      </w:r>
      <w:r>
        <w:rPr>
          <w:rFonts w:hint="eastAsia" w:ascii="仿宋_GB2312" w:hAnsi="仿宋_GB2312" w:eastAsia="仿宋_GB2312" w:cs="仿宋_GB2312"/>
          <w:color w:val="auto"/>
          <w:sz w:val="32"/>
          <w:szCs w:val="32"/>
        </w:rPr>
        <w:t>相关文件精神，梳理信息公开目录，规范政策文件信息管理，确保公开信息依法、及时、全面、准确和合理。</w:t>
      </w:r>
      <w:r>
        <w:rPr>
          <w:rFonts w:hint="eastAsia" w:ascii="仿宋_GB2312" w:hAnsi="仿宋_GB2312" w:eastAsia="仿宋_GB2312" w:cs="仿宋_GB2312"/>
          <w:color w:val="auto"/>
          <w:sz w:val="32"/>
          <w:szCs w:val="32"/>
          <w:lang w:eastAsia="zh-CN"/>
        </w:rPr>
        <w:t>严格信息发布程序，提高信息发布质量，及时更新政府网站、单位微信公众号等信息，确保政务公开信息标准化、规范化提升。</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val="en-US" w:eastAsia="zh-CN"/>
        </w:rPr>
        <w:t>4.平台建设方面。</w:t>
      </w:r>
      <w:r>
        <w:rPr>
          <w:rFonts w:hint="eastAsia" w:ascii="仿宋_GB2312" w:hAnsi="仿宋_GB2312" w:eastAsia="仿宋_GB2312" w:cs="仿宋_GB2312"/>
          <w:color w:val="auto"/>
          <w:sz w:val="32"/>
          <w:szCs w:val="32"/>
          <w:lang w:eastAsia="zh-CN"/>
        </w:rPr>
        <w:t>我局紧紧围绕全市商务投资促进领域各项工作，充分发挥政府网站、单位微信公众号、各级媒体投稿等渠道，真实、主动公开信息，及时回应解答群众疑惑，扎实有序推进政务公开工作。</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5.监督保障方面。</w:t>
      </w:r>
      <w:r>
        <w:rPr>
          <w:rFonts w:hint="eastAsia" w:ascii="仿宋_GB2312" w:hAnsi="仿宋_GB2312" w:eastAsia="仿宋_GB2312" w:cs="仿宋_GB2312"/>
          <w:color w:val="auto"/>
          <w:sz w:val="32"/>
          <w:szCs w:val="32"/>
          <w:lang w:eastAsia="zh-CN"/>
        </w:rPr>
        <w:t>我局高度重视政务公开工作，多次召开会议研究部署政务公开工作，对政府网站及公众号内容进行梳理自查，指派专人负责信息发布等工作，严格贯彻落实“三审三校”制度，全年未出现</w:t>
      </w:r>
      <w:r>
        <w:rPr>
          <w:rFonts w:hint="eastAsia" w:ascii="仿宋_GB2312" w:hAnsi="仿宋_GB2312" w:eastAsia="仿宋_GB2312" w:cs="仿宋_GB2312"/>
          <w:color w:val="auto"/>
          <w:sz w:val="32"/>
          <w:szCs w:val="32"/>
          <w:lang w:val="en-US" w:eastAsia="zh-CN"/>
        </w:rPr>
        <w:t>1例违规现象</w:t>
      </w:r>
      <w:r>
        <w:rPr>
          <w:rFonts w:hint="eastAsia" w:ascii="仿宋_GB2312" w:hAnsi="仿宋_GB2312" w:eastAsia="仿宋_GB2312" w:cs="仿宋_GB2312"/>
          <w:color w:val="auto"/>
          <w:sz w:val="32"/>
          <w:szCs w:val="32"/>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黑体" w:hAnsi="黑体" w:eastAsia="黑体" w:cs="黑体"/>
          <w:b w:val="0"/>
          <w:bCs/>
          <w:i w:val="0"/>
          <w:caps w:val="0"/>
          <w:color w:val="auto"/>
          <w:spacing w:val="0"/>
          <w:sz w:val="32"/>
          <w:szCs w:val="32"/>
        </w:rPr>
      </w:pPr>
      <w:r>
        <w:rPr>
          <w:rFonts w:hint="eastAsia" w:ascii="黑体" w:hAnsi="黑体" w:eastAsia="黑体" w:cs="黑体"/>
          <w:b w:val="0"/>
          <w:bCs/>
          <w:i w:val="0"/>
          <w:caps w:val="0"/>
          <w:color w:val="auto"/>
          <w:spacing w:val="0"/>
          <w:sz w:val="32"/>
          <w:szCs w:val="32"/>
          <w:shd w:val="clear" w:fill="FFFFFF"/>
        </w:rPr>
        <w:t>二、主动公开政府信息情况</w:t>
      </w:r>
    </w:p>
    <w:tbl>
      <w:tblPr>
        <w:tblStyle w:val="3"/>
        <w:tblW w:w="8824" w:type="dxa"/>
        <w:tblInd w:w="0" w:type="dxa"/>
        <w:tblLayout w:type="fixed"/>
        <w:tblCellMar>
          <w:top w:w="0" w:type="dxa"/>
          <w:left w:w="108" w:type="dxa"/>
          <w:bottom w:w="0" w:type="dxa"/>
          <w:right w:w="108" w:type="dxa"/>
        </w:tblCellMar>
      </w:tblPr>
      <w:tblGrid>
        <w:gridCol w:w="2206"/>
        <w:gridCol w:w="2206"/>
        <w:gridCol w:w="2206"/>
        <w:gridCol w:w="2206"/>
      </w:tblGrid>
      <w:tr>
        <w:tblPrEx>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黑体" w:hAnsi="黑体" w:eastAsia="黑体" w:cs="宋体"/>
                <w:color w:val="auto"/>
                <w:kern w:val="0"/>
                <w:szCs w:val="21"/>
              </w:rPr>
            </w:pPr>
            <w:r>
              <w:rPr>
                <w:rFonts w:hint="eastAsia" w:ascii="黑体" w:hAnsi="黑体" w:eastAsia="黑体" w:cs="宋体"/>
                <w:color w:val="auto"/>
                <w:kern w:val="0"/>
                <w:szCs w:val="21"/>
              </w:rPr>
              <w:t>第二十条第（一）项</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仿宋_GB2312" w:hAnsi="宋体" w:eastAsia="仿宋_GB2312" w:cs="宋体"/>
                <w:color w:val="auto"/>
                <w:kern w:val="0"/>
                <w:szCs w:val="21"/>
              </w:rPr>
            </w:pPr>
            <w:r>
              <w:rPr>
                <w:rFonts w:hint="eastAsia" w:ascii="仿宋_GB2312" w:hAnsi="宋体" w:eastAsia="仿宋_GB2312" w:cs="宋体"/>
                <w:color w:val="auto"/>
                <w:kern w:val="0"/>
                <w:szCs w:val="21"/>
              </w:rPr>
              <w:t>信息内容</w:t>
            </w:r>
          </w:p>
        </w:tc>
        <w:tc>
          <w:tcPr>
            <w:tcW w:w="220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仿宋_GB2312" w:hAnsi="宋体" w:eastAsia="仿宋_GB2312" w:cs="宋体"/>
                <w:color w:val="auto"/>
                <w:kern w:val="0"/>
                <w:szCs w:val="21"/>
              </w:rPr>
            </w:pPr>
            <w:r>
              <w:rPr>
                <w:rFonts w:hint="eastAsia" w:ascii="仿宋_GB2312" w:hAnsi="宋体" w:eastAsia="仿宋_GB2312" w:cs="宋体"/>
                <w:color w:val="auto"/>
                <w:kern w:val="0"/>
                <w:szCs w:val="21"/>
              </w:rPr>
              <w:t>本年制发件数</w:t>
            </w:r>
          </w:p>
        </w:tc>
        <w:tc>
          <w:tcPr>
            <w:tcW w:w="220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仿宋_GB2312" w:hAnsi="宋体" w:eastAsia="仿宋_GB2312" w:cs="宋体"/>
                <w:color w:val="auto"/>
                <w:kern w:val="0"/>
                <w:szCs w:val="21"/>
              </w:rPr>
            </w:pPr>
            <w:r>
              <w:rPr>
                <w:rFonts w:hint="eastAsia" w:ascii="仿宋_GB2312" w:hAnsi="宋体" w:eastAsia="仿宋_GB2312" w:cs="宋体"/>
                <w:color w:val="auto"/>
                <w:kern w:val="0"/>
                <w:szCs w:val="21"/>
              </w:rPr>
              <w:t>本年废止件数</w:t>
            </w:r>
          </w:p>
        </w:tc>
        <w:tc>
          <w:tcPr>
            <w:tcW w:w="220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仿宋_GB2312" w:hAnsi="宋体" w:eastAsia="仿宋_GB2312" w:cs="宋体"/>
                <w:color w:val="auto"/>
                <w:kern w:val="0"/>
                <w:szCs w:val="21"/>
              </w:rPr>
            </w:pPr>
            <w:r>
              <w:rPr>
                <w:rFonts w:hint="eastAsia" w:ascii="仿宋_GB2312" w:hAnsi="宋体" w:eastAsia="仿宋_GB2312" w:cs="宋体"/>
                <w:color w:val="auto"/>
                <w:kern w:val="0"/>
                <w:szCs w:val="21"/>
              </w:rPr>
              <w:t>现行有效件数</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仿宋_GB2312" w:hAnsi="宋体" w:eastAsia="仿宋_GB2312" w:cs="宋体"/>
                <w:color w:val="auto"/>
                <w:kern w:val="0"/>
                <w:szCs w:val="21"/>
              </w:rPr>
            </w:pPr>
            <w:r>
              <w:rPr>
                <w:rFonts w:hint="eastAsia" w:ascii="仿宋_GB2312" w:hAnsi="宋体" w:eastAsia="仿宋_GB2312" w:cs="宋体"/>
                <w:color w:val="auto"/>
                <w:kern w:val="0"/>
                <w:szCs w:val="21"/>
              </w:rPr>
              <w:t>规章</w:t>
            </w:r>
          </w:p>
        </w:tc>
        <w:tc>
          <w:tcPr>
            <w:tcW w:w="220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宋体" w:eastAsia="仿宋_GB2312" w:cs="宋体"/>
                <w:color w:val="auto"/>
                <w:kern w:val="0"/>
                <w:szCs w:val="21"/>
                <w:lang w:eastAsia="zh-CN"/>
              </w:rPr>
            </w:pPr>
            <w:r>
              <w:rPr>
                <w:rFonts w:hint="eastAsia" w:ascii="仿宋_GB2312" w:hAnsi="宋体" w:eastAsia="仿宋_GB2312" w:cs="宋体"/>
                <w:color w:val="auto"/>
                <w:kern w:val="0"/>
                <w:szCs w:val="21"/>
                <w:lang w:val="en-US" w:eastAsia="zh-CN"/>
              </w:rPr>
              <w:t>0</w:t>
            </w:r>
          </w:p>
        </w:tc>
        <w:tc>
          <w:tcPr>
            <w:tcW w:w="220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仿宋_GB2312" w:hAnsi="宋体" w:eastAsia="仿宋_GB2312" w:cs="宋体"/>
                <w:color w:val="auto"/>
                <w:kern w:val="0"/>
                <w:szCs w:val="21"/>
              </w:rPr>
            </w:pPr>
            <w:r>
              <w:rPr>
                <w:rFonts w:hint="eastAsia" w:ascii="仿宋_GB2312" w:hAnsi="宋体" w:eastAsia="仿宋_GB2312" w:cs="宋体"/>
                <w:color w:val="auto"/>
                <w:kern w:val="0"/>
                <w:szCs w:val="21"/>
                <w:lang w:val="en-US" w:eastAsia="zh-CN"/>
              </w:rPr>
              <w:t>0</w:t>
            </w:r>
          </w:p>
        </w:tc>
        <w:tc>
          <w:tcPr>
            <w:tcW w:w="220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仿宋_GB2312" w:hAnsi="Calibri" w:eastAsia="仿宋_GB2312" w:cs="Calibri"/>
                <w:color w:val="auto"/>
                <w:kern w:val="0"/>
                <w:szCs w:val="21"/>
              </w:rPr>
            </w:pPr>
            <w:r>
              <w:rPr>
                <w:rFonts w:hint="eastAsia" w:ascii="仿宋_GB2312" w:hAnsi="宋体" w:eastAsia="仿宋_GB2312" w:cs="宋体"/>
                <w:color w:val="auto"/>
                <w:kern w:val="0"/>
                <w:szCs w:val="21"/>
                <w:lang w:val="en-US" w:eastAsia="zh-CN"/>
              </w:rPr>
              <w:t>0</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仿宋_GB2312" w:hAnsi="宋体" w:eastAsia="仿宋_GB2312" w:cs="宋体"/>
                <w:color w:val="auto"/>
                <w:kern w:val="0"/>
                <w:szCs w:val="21"/>
              </w:rPr>
            </w:pPr>
            <w:r>
              <w:rPr>
                <w:rFonts w:hint="eastAsia" w:ascii="仿宋_GB2312" w:hAnsi="宋体" w:eastAsia="仿宋_GB2312" w:cs="宋体"/>
                <w:color w:val="auto"/>
                <w:kern w:val="0"/>
                <w:szCs w:val="21"/>
              </w:rPr>
              <w:t>行政规范性文件</w:t>
            </w:r>
          </w:p>
        </w:tc>
        <w:tc>
          <w:tcPr>
            <w:tcW w:w="220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宋体" w:eastAsia="仿宋_GB2312" w:cs="宋体"/>
                <w:color w:val="auto"/>
                <w:kern w:val="0"/>
                <w:szCs w:val="21"/>
                <w:lang w:eastAsia="zh-CN"/>
              </w:rPr>
            </w:pPr>
            <w:r>
              <w:rPr>
                <w:rFonts w:hint="eastAsia" w:ascii="仿宋_GB2312" w:hAnsi="宋体" w:eastAsia="仿宋_GB2312" w:cs="宋体"/>
                <w:color w:val="auto"/>
                <w:kern w:val="0"/>
                <w:szCs w:val="21"/>
                <w:lang w:val="en-US" w:eastAsia="zh-CN"/>
              </w:rPr>
              <w:t>0</w:t>
            </w:r>
          </w:p>
        </w:tc>
        <w:tc>
          <w:tcPr>
            <w:tcW w:w="220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宋体" w:eastAsia="仿宋_GB2312" w:cs="宋体"/>
                <w:color w:val="auto"/>
                <w:kern w:val="0"/>
                <w:szCs w:val="21"/>
                <w:lang w:eastAsia="zh-CN"/>
              </w:rPr>
            </w:pPr>
            <w:r>
              <w:rPr>
                <w:rFonts w:hint="eastAsia" w:ascii="仿宋_GB2312" w:hAnsi="宋体" w:eastAsia="仿宋_GB2312" w:cs="宋体"/>
                <w:color w:val="auto"/>
                <w:kern w:val="0"/>
                <w:szCs w:val="21"/>
                <w:lang w:val="en-US" w:eastAsia="zh-CN"/>
              </w:rPr>
              <w:t>0</w:t>
            </w:r>
          </w:p>
        </w:tc>
        <w:tc>
          <w:tcPr>
            <w:tcW w:w="220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宋体" w:eastAsia="仿宋_GB2312" w:cs="宋体"/>
                <w:color w:val="auto"/>
                <w:kern w:val="0"/>
                <w:szCs w:val="21"/>
                <w:lang w:eastAsia="zh-CN"/>
              </w:rPr>
            </w:pPr>
            <w:r>
              <w:rPr>
                <w:rFonts w:hint="eastAsia" w:ascii="仿宋_GB2312" w:hAnsi="宋体" w:eastAsia="仿宋_GB2312" w:cs="宋体"/>
                <w:color w:val="auto"/>
                <w:kern w:val="0"/>
                <w:szCs w:val="21"/>
                <w:lang w:val="en-US" w:eastAsia="zh-CN"/>
              </w:rPr>
              <w:t>0</w:t>
            </w:r>
          </w:p>
        </w:tc>
      </w:tr>
      <w:tr>
        <w:tblPrEx>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黑体" w:hAnsi="黑体" w:eastAsia="黑体" w:cs="宋体"/>
                <w:color w:val="auto"/>
                <w:kern w:val="0"/>
                <w:szCs w:val="21"/>
              </w:rPr>
            </w:pPr>
            <w:r>
              <w:rPr>
                <w:rFonts w:hint="eastAsia" w:ascii="黑体" w:hAnsi="黑体" w:eastAsia="黑体" w:cs="宋体"/>
                <w:color w:val="auto"/>
                <w:kern w:val="0"/>
                <w:szCs w:val="21"/>
              </w:rPr>
              <w:t>第二十条第（五）项</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仿宋_GB2312" w:hAnsi="宋体" w:eastAsia="仿宋_GB2312" w:cs="宋体"/>
                <w:color w:val="auto"/>
                <w:kern w:val="0"/>
                <w:szCs w:val="21"/>
              </w:rPr>
            </w:pPr>
            <w:r>
              <w:rPr>
                <w:rFonts w:hint="eastAsia" w:ascii="仿宋_GB2312" w:hAnsi="宋体" w:eastAsia="仿宋_GB2312" w:cs="宋体"/>
                <w:color w:val="auto"/>
                <w:kern w:val="0"/>
                <w:szCs w:val="21"/>
              </w:rPr>
              <w:t>信息内容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仿宋_GB2312" w:hAnsi="宋体" w:eastAsia="仿宋_GB2312" w:cs="宋体"/>
                <w:color w:val="auto"/>
                <w:kern w:val="0"/>
                <w:szCs w:val="21"/>
              </w:rPr>
            </w:pPr>
            <w:r>
              <w:rPr>
                <w:rFonts w:hint="eastAsia" w:ascii="仿宋_GB2312" w:hAnsi="宋体" w:eastAsia="仿宋_GB2312" w:cs="宋体"/>
                <w:color w:val="auto"/>
                <w:kern w:val="0"/>
                <w:szCs w:val="21"/>
              </w:rPr>
              <w:t>本年处理决定数量</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仿宋_GB2312" w:hAnsi="宋体" w:eastAsia="仿宋_GB2312" w:cs="宋体"/>
                <w:color w:val="auto"/>
                <w:kern w:val="0"/>
                <w:szCs w:val="21"/>
              </w:rPr>
            </w:pPr>
            <w:r>
              <w:rPr>
                <w:rFonts w:hint="eastAsia" w:ascii="仿宋_GB2312" w:hAnsi="宋体" w:eastAsia="仿宋_GB2312" w:cs="宋体"/>
                <w:color w:val="auto"/>
                <w:kern w:val="0"/>
                <w:szCs w:val="21"/>
              </w:rPr>
              <w:t>行政许可</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Calibri" w:eastAsia="仿宋_GB2312" w:cs="Calibri"/>
                <w:color w:val="auto"/>
                <w:kern w:val="0"/>
                <w:szCs w:val="21"/>
                <w:lang w:val="en-US" w:eastAsia="zh-CN"/>
              </w:rPr>
            </w:pPr>
            <w:r>
              <w:rPr>
                <w:rFonts w:hint="eastAsia" w:ascii="仿宋_GB2312" w:hAnsi="Calibri" w:eastAsia="仿宋_GB2312" w:cs="Calibri"/>
                <w:color w:val="auto"/>
                <w:kern w:val="0"/>
                <w:szCs w:val="21"/>
                <w:lang w:val="en-US" w:eastAsia="zh-CN"/>
              </w:rPr>
              <w:t>0</w:t>
            </w:r>
          </w:p>
        </w:tc>
      </w:tr>
      <w:tr>
        <w:tblPrEx>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黑体" w:hAnsi="黑体" w:eastAsia="黑体" w:cs="宋体"/>
                <w:color w:val="auto"/>
                <w:kern w:val="0"/>
                <w:szCs w:val="21"/>
              </w:rPr>
            </w:pPr>
            <w:r>
              <w:rPr>
                <w:rFonts w:hint="eastAsia" w:ascii="黑体" w:hAnsi="黑体" w:eastAsia="黑体" w:cs="宋体"/>
                <w:color w:val="auto"/>
                <w:kern w:val="0"/>
                <w:szCs w:val="21"/>
              </w:rPr>
              <w:t>第二十条第（六）项</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仿宋_GB2312" w:hAnsi="宋体" w:eastAsia="仿宋_GB2312" w:cs="宋体"/>
                <w:color w:val="auto"/>
                <w:kern w:val="0"/>
                <w:szCs w:val="21"/>
              </w:rPr>
            </w:pPr>
            <w:r>
              <w:rPr>
                <w:rFonts w:hint="eastAsia" w:ascii="仿宋_GB2312" w:hAnsi="宋体" w:eastAsia="仿宋_GB2312" w:cs="宋体"/>
                <w:color w:val="auto"/>
                <w:kern w:val="0"/>
                <w:szCs w:val="21"/>
              </w:rPr>
              <w:t>信息内容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仿宋_GB2312" w:hAnsi="宋体" w:eastAsia="仿宋_GB2312" w:cs="宋体"/>
                <w:color w:val="auto"/>
                <w:kern w:val="0"/>
                <w:szCs w:val="21"/>
              </w:rPr>
            </w:pPr>
            <w:r>
              <w:rPr>
                <w:rFonts w:hint="eastAsia" w:ascii="仿宋_GB2312" w:hAnsi="宋体" w:eastAsia="仿宋_GB2312" w:cs="宋体"/>
                <w:color w:val="auto"/>
                <w:kern w:val="0"/>
                <w:szCs w:val="21"/>
              </w:rPr>
              <w:t>本年处理决定数量</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仿宋_GB2312" w:hAnsi="宋体" w:eastAsia="仿宋_GB2312" w:cs="宋体"/>
                <w:color w:val="auto"/>
                <w:kern w:val="0"/>
                <w:szCs w:val="21"/>
              </w:rPr>
            </w:pPr>
            <w:r>
              <w:rPr>
                <w:rFonts w:hint="eastAsia" w:ascii="仿宋_GB2312" w:hAnsi="宋体" w:eastAsia="仿宋_GB2312" w:cs="宋体"/>
                <w:color w:val="auto"/>
                <w:kern w:val="0"/>
                <w:szCs w:val="21"/>
              </w:rPr>
              <w:t>行政处罚</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仿宋_GB2312" w:hAnsi="Calibri" w:eastAsia="仿宋_GB2312" w:cs="Calibri"/>
                <w:color w:val="auto"/>
                <w:kern w:val="0"/>
                <w:szCs w:val="21"/>
                <w:lang w:val="en-US" w:eastAsia="zh-CN"/>
              </w:rPr>
            </w:pPr>
            <w:r>
              <w:rPr>
                <w:rFonts w:hint="eastAsia" w:ascii="仿宋_GB2312" w:hAnsi="Calibri" w:eastAsia="仿宋_GB2312" w:cs="Calibri"/>
                <w:color w:val="auto"/>
                <w:kern w:val="0"/>
                <w:szCs w:val="21"/>
                <w:lang w:val="en-US" w:eastAsia="zh-CN"/>
              </w:rPr>
              <w:t>13</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仿宋_GB2312" w:hAnsi="宋体" w:eastAsia="仿宋_GB2312" w:cs="宋体"/>
                <w:color w:val="auto"/>
                <w:kern w:val="0"/>
                <w:szCs w:val="21"/>
              </w:rPr>
            </w:pPr>
            <w:r>
              <w:rPr>
                <w:rFonts w:hint="eastAsia" w:ascii="仿宋_GB2312" w:hAnsi="宋体" w:eastAsia="仿宋_GB2312" w:cs="宋体"/>
                <w:color w:val="auto"/>
                <w:kern w:val="0"/>
                <w:szCs w:val="21"/>
              </w:rPr>
              <w:t>行政强制</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Calibri" w:eastAsia="仿宋_GB2312" w:cs="Calibri"/>
                <w:color w:val="auto"/>
                <w:kern w:val="0"/>
                <w:szCs w:val="21"/>
                <w:lang w:eastAsia="zh-CN"/>
              </w:rPr>
            </w:pPr>
            <w:r>
              <w:rPr>
                <w:rFonts w:hint="eastAsia" w:ascii="仿宋_GB2312" w:hAnsi="Calibri" w:eastAsia="仿宋_GB2312" w:cs="Calibri"/>
                <w:color w:val="auto"/>
                <w:kern w:val="0"/>
                <w:szCs w:val="21"/>
                <w:lang w:val="en-US" w:eastAsia="zh-CN"/>
              </w:rPr>
              <w:t>0</w:t>
            </w:r>
          </w:p>
        </w:tc>
      </w:tr>
      <w:tr>
        <w:tblPrEx>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黑体" w:hAnsi="黑体" w:eastAsia="黑体" w:cs="宋体"/>
                <w:color w:val="auto"/>
                <w:kern w:val="0"/>
                <w:szCs w:val="21"/>
              </w:rPr>
            </w:pPr>
            <w:r>
              <w:rPr>
                <w:rFonts w:hint="eastAsia" w:ascii="黑体" w:hAnsi="黑体" w:eastAsia="黑体" w:cs="宋体"/>
                <w:color w:val="auto"/>
                <w:kern w:val="0"/>
                <w:szCs w:val="21"/>
              </w:rPr>
              <w:t>第二十条第（八）项</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仿宋_GB2312" w:hAnsi="宋体" w:eastAsia="仿宋_GB2312" w:cs="宋体"/>
                <w:color w:val="auto"/>
                <w:kern w:val="0"/>
                <w:szCs w:val="21"/>
              </w:rPr>
            </w:pPr>
            <w:r>
              <w:rPr>
                <w:rFonts w:hint="eastAsia" w:ascii="仿宋_GB2312" w:hAnsi="宋体" w:eastAsia="仿宋_GB2312" w:cs="宋体"/>
                <w:color w:val="auto"/>
                <w:kern w:val="0"/>
                <w:szCs w:val="21"/>
              </w:rPr>
              <w:t>信息内容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仿宋_GB2312" w:hAnsi="宋体" w:eastAsia="仿宋_GB2312" w:cs="宋体"/>
                <w:color w:val="auto"/>
                <w:kern w:val="0"/>
                <w:szCs w:val="21"/>
              </w:rPr>
            </w:pPr>
            <w:r>
              <w:rPr>
                <w:rFonts w:hint="eastAsia" w:ascii="仿宋_GB2312" w:hAnsi="宋体" w:eastAsia="仿宋_GB2312" w:cs="宋体"/>
                <w:color w:val="auto"/>
                <w:kern w:val="0"/>
                <w:szCs w:val="21"/>
              </w:rPr>
              <w:t>本年收费金额（单位：万元）</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仿宋_GB2312" w:hAnsi="宋体" w:eastAsia="仿宋_GB2312" w:cs="宋体"/>
                <w:color w:val="auto"/>
                <w:kern w:val="0"/>
                <w:szCs w:val="21"/>
              </w:rPr>
            </w:pPr>
            <w:r>
              <w:rPr>
                <w:rFonts w:hint="eastAsia" w:ascii="仿宋_GB2312" w:hAnsi="宋体" w:eastAsia="仿宋_GB2312" w:cs="宋体"/>
                <w:color w:val="auto"/>
                <w:kern w:val="0"/>
                <w:szCs w:val="21"/>
              </w:rPr>
              <w:t>行政事业性收费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Calibri" w:eastAsia="仿宋_GB2312" w:cs="Calibri"/>
                <w:color w:val="auto"/>
                <w:kern w:val="0"/>
                <w:szCs w:val="21"/>
                <w:lang w:eastAsia="zh-CN"/>
              </w:rPr>
            </w:pPr>
            <w:r>
              <w:rPr>
                <w:rFonts w:hint="eastAsia" w:ascii="仿宋_GB2312" w:hAnsi="Calibri" w:eastAsia="仿宋_GB2312" w:cs="Calibri"/>
                <w:color w:val="auto"/>
                <w:kern w:val="0"/>
                <w:szCs w:val="21"/>
                <w:lang w:val="en-US" w:eastAsia="zh-CN"/>
              </w:rPr>
              <w:t>0</w:t>
            </w:r>
          </w:p>
        </w:tc>
      </w:tr>
    </w:tbl>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b w:val="0"/>
          <w:bCs/>
          <w:i w:val="0"/>
          <w:caps w:val="0"/>
          <w:color w:val="auto"/>
          <w:spacing w:val="0"/>
          <w:kern w:val="0"/>
          <w:sz w:val="32"/>
          <w:szCs w:val="32"/>
          <w:shd w:val="clear" w:fill="FFFFFF"/>
          <w:lang w:val="en-US" w:eastAsia="zh-CN" w:bidi="ar"/>
        </w:rPr>
      </w:pPr>
      <w:r>
        <w:rPr>
          <w:rFonts w:hint="eastAsia" w:ascii="黑体" w:hAnsi="黑体" w:eastAsia="黑体" w:cs="黑体"/>
          <w:b w:val="0"/>
          <w:bCs/>
          <w:i w:val="0"/>
          <w:caps w:val="0"/>
          <w:color w:val="auto"/>
          <w:spacing w:val="0"/>
          <w:kern w:val="0"/>
          <w:sz w:val="32"/>
          <w:szCs w:val="32"/>
          <w:shd w:val="clear" w:fill="FFFFFF"/>
          <w:lang w:val="en-US" w:eastAsia="zh-CN" w:bidi="ar"/>
        </w:rPr>
        <w:t>三、收到和处理政府信息公开申请情况</w:t>
      </w:r>
    </w:p>
    <w:tbl>
      <w:tblPr>
        <w:tblStyle w:val="3"/>
        <w:tblW w:w="954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16"/>
        <w:gridCol w:w="1701"/>
        <w:gridCol w:w="2976"/>
        <w:gridCol w:w="747"/>
        <w:gridCol w:w="5"/>
        <w:gridCol w:w="535"/>
        <w:gridCol w:w="5"/>
        <w:gridCol w:w="535"/>
        <w:gridCol w:w="720"/>
        <w:gridCol w:w="675"/>
        <w:gridCol w:w="525"/>
        <w:gridCol w:w="70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13" w:hRule="atLeast"/>
          <w:jc w:val="center"/>
        </w:trPr>
        <w:tc>
          <w:tcPr>
            <w:tcW w:w="5093" w:type="dxa"/>
            <w:gridSpan w:val="3"/>
            <w:vMerge w:val="restart"/>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楷体_GB2312" w:hAnsi="黑体" w:eastAsia="楷体_GB2312"/>
                <w:color w:val="auto"/>
                <w:kern w:val="0"/>
                <w:szCs w:val="21"/>
              </w:rPr>
            </w:pPr>
            <w:r>
              <w:rPr>
                <w:rFonts w:hint="eastAsia" w:ascii="楷体_GB2312" w:hAnsi="黑体" w:eastAsia="楷体_GB2312"/>
                <w:color w:val="auto"/>
                <w:kern w:val="0"/>
                <w:szCs w:val="21"/>
              </w:rPr>
              <w:t>（本列数据的勾稽关系为：第一项加第二项之和，</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仿宋_GB2312" w:hAnsi="Times New Roman" w:eastAsia="仿宋_GB2312"/>
                <w:color w:val="auto"/>
                <w:szCs w:val="21"/>
              </w:rPr>
            </w:pPr>
            <w:r>
              <w:rPr>
                <w:rFonts w:hint="eastAsia" w:ascii="楷体_GB2312" w:hAnsi="黑体" w:eastAsia="楷体_GB2312"/>
                <w:color w:val="auto"/>
                <w:kern w:val="0"/>
                <w:szCs w:val="21"/>
              </w:rPr>
              <w:t>等于第三项加第四项之和）</w:t>
            </w:r>
          </w:p>
        </w:tc>
        <w:tc>
          <w:tcPr>
            <w:tcW w:w="4448" w:type="dxa"/>
            <w:gridSpan w:val="9"/>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黑体" w:hAnsi="黑体" w:eastAsia="黑体"/>
                <w:color w:val="auto"/>
                <w:szCs w:val="21"/>
              </w:rPr>
            </w:pPr>
            <w:r>
              <w:rPr>
                <w:rFonts w:hint="eastAsia" w:ascii="黑体" w:hAnsi="黑体" w:eastAsia="黑体"/>
                <w:color w:val="auto"/>
                <w:kern w:val="0"/>
                <w:szCs w:val="21"/>
              </w:rPr>
              <w:t>申请人情况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5093" w:type="dxa"/>
            <w:gridSpan w:val="3"/>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Times New Roman" w:eastAsia="仿宋_GB2312"/>
                <w:color w:val="auto"/>
                <w:szCs w:val="21"/>
              </w:rPr>
            </w:pPr>
          </w:p>
        </w:tc>
        <w:tc>
          <w:tcPr>
            <w:tcW w:w="747" w:type="dxa"/>
            <w:vMerge w:val="restart"/>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黑体" w:hAnsi="黑体" w:eastAsia="黑体"/>
                <w:color w:val="auto"/>
                <w:szCs w:val="21"/>
              </w:rPr>
            </w:pPr>
            <w:r>
              <w:rPr>
                <w:rFonts w:hint="eastAsia" w:ascii="黑体" w:hAnsi="黑体" w:eastAsia="黑体"/>
                <w:color w:val="auto"/>
                <w:kern w:val="0"/>
                <w:szCs w:val="21"/>
              </w:rPr>
              <w:t>自然人</w:t>
            </w:r>
          </w:p>
        </w:tc>
        <w:tc>
          <w:tcPr>
            <w:tcW w:w="3000" w:type="dxa"/>
            <w:gridSpan w:val="7"/>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黑体" w:hAnsi="黑体" w:eastAsia="黑体"/>
                <w:color w:val="auto"/>
                <w:szCs w:val="21"/>
              </w:rPr>
            </w:pPr>
            <w:r>
              <w:rPr>
                <w:rFonts w:hint="eastAsia" w:ascii="黑体" w:hAnsi="黑体" w:eastAsia="黑体"/>
                <w:color w:val="auto"/>
                <w:kern w:val="0"/>
                <w:szCs w:val="21"/>
              </w:rPr>
              <w:t>法人或其他组织</w:t>
            </w:r>
          </w:p>
        </w:tc>
        <w:tc>
          <w:tcPr>
            <w:tcW w:w="701" w:type="dxa"/>
            <w:vMerge w:val="restart"/>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黑体" w:hAnsi="黑体" w:eastAsia="黑体"/>
                <w:color w:val="auto"/>
                <w:szCs w:val="21"/>
              </w:rPr>
            </w:pPr>
            <w:r>
              <w:rPr>
                <w:rFonts w:hint="eastAsia" w:ascii="黑体" w:hAnsi="黑体" w:eastAsia="黑体"/>
                <w:color w:val="auto"/>
                <w:kern w:val="0"/>
                <w:szCs w:val="21"/>
              </w:rPr>
              <w:t>总计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22" w:hRule="atLeast"/>
          <w:jc w:val="center"/>
        </w:trPr>
        <w:tc>
          <w:tcPr>
            <w:tcW w:w="5093" w:type="dxa"/>
            <w:gridSpan w:val="3"/>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Times New Roman" w:eastAsia="仿宋_GB2312"/>
                <w:color w:val="auto"/>
                <w:szCs w:val="21"/>
              </w:rPr>
            </w:pPr>
          </w:p>
        </w:tc>
        <w:tc>
          <w:tcPr>
            <w:tcW w:w="747"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黑体" w:hAnsi="黑体" w:eastAsia="黑体"/>
                <w:color w:val="auto"/>
                <w:szCs w:val="21"/>
              </w:rPr>
            </w:pP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106" w:leftChars="-51" w:right="-107" w:rightChars="-51" w:hanging="1"/>
              <w:jc w:val="center"/>
              <w:textAlignment w:val="auto"/>
              <w:rPr>
                <w:rFonts w:ascii="黑体" w:hAnsi="黑体" w:eastAsia="黑体"/>
                <w:color w:val="auto"/>
                <w:szCs w:val="21"/>
              </w:rPr>
            </w:pPr>
            <w:r>
              <w:rPr>
                <w:rFonts w:hint="eastAsia" w:ascii="黑体" w:hAnsi="黑体" w:eastAsia="黑体"/>
                <w:color w:val="auto"/>
                <w:kern w:val="0"/>
                <w:szCs w:val="21"/>
              </w:rPr>
              <w:t>商业企业</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107" w:leftChars="-51" w:right="-107" w:rightChars="-51"/>
              <w:jc w:val="center"/>
              <w:textAlignment w:val="auto"/>
              <w:rPr>
                <w:rFonts w:ascii="黑体" w:hAnsi="黑体" w:eastAsia="黑体"/>
                <w:color w:val="auto"/>
                <w:szCs w:val="21"/>
              </w:rPr>
            </w:pPr>
            <w:r>
              <w:rPr>
                <w:rFonts w:hint="eastAsia" w:ascii="黑体" w:hAnsi="黑体" w:eastAsia="黑体"/>
                <w:color w:val="auto"/>
                <w:kern w:val="0"/>
                <w:szCs w:val="21"/>
              </w:rPr>
              <w:t>科研机构</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107" w:leftChars="-51" w:right="-107" w:rightChars="-51"/>
              <w:jc w:val="center"/>
              <w:textAlignment w:val="auto"/>
              <w:rPr>
                <w:rFonts w:ascii="黑体" w:hAnsi="黑体" w:eastAsia="黑体"/>
                <w:color w:val="auto"/>
                <w:szCs w:val="21"/>
              </w:rPr>
            </w:pPr>
            <w:r>
              <w:rPr>
                <w:rFonts w:hint="eastAsia" w:ascii="黑体" w:hAnsi="黑体" w:eastAsia="黑体"/>
                <w:color w:val="auto"/>
                <w:kern w:val="0"/>
                <w:szCs w:val="21"/>
              </w:rPr>
              <w:t>社会公益组织</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106" w:leftChars="-51" w:right="-107" w:rightChars="-51" w:hanging="1"/>
              <w:jc w:val="center"/>
              <w:textAlignment w:val="auto"/>
              <w:rPr>
                <w:rFonts w:ascii="黑体" w:hAnsi="黑体" w:eastAsia="黑体"/>
                <w:color w:val="auto"/>
                <w:szCs w:val="21"/>
              </w:rPr>
            </w:pPr>
            <w:r>
              <w:rPr>
                <w:rFonts w:hint="eastAsia" w:ascii="黑体" w:hAnsi="黑体" w:eastAsia="黑体"/>
                <w:color w:val="auto"/>
                <w:kern w:val="0"/>
                <w:szCs w:val="21"/>
              </w:rPr>
              <w:t>法律服务机构</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63" w:leftChars="-30" w:right="-134" w:rightChars="-64"/>
              <w:jc w:val="center"/>
              <w:textAlignment w:val="auto"/>
              <w:rPr>
                <w:rFonts w:ascii="黑体" w:hAnsi="黑体" w:eastAsia="黑体"/>
                <w:color w:val="auto"/>
                <w:szCs w:val="21"/>
              </w:rPr>
            </w:pPr>
            <w:r>
              <w:rPr>
                <w:rFonts w:hint="eastAsia" w:ascii="黑体" w:hAnsi="黑体" w:eastAsia="黑体"/>
                <w:color w:val="auto"/>
                <w:kern w:val="0"/>
                <w:szCs w:val="21"/>
              </w:rPr>
              <w:t>其他</w:t>
            </w:r>
          </w:p>
        </w:tc>
        <w:tc>
          <w:tcPr>
            <w:tcW w:w="701"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Times New Roman" w:eastAsia="仿宋_GB2312"/>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093" w:type="dxa"/>
            <w:gridSpan w:val="3"/>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黑体" w:hAnsi="黑体" w:eastAsia="黑体"/>
                <w:color w:val="auto"/>
                <w:szCs w:val="21"/>
              </w:rPr>
            </w:pPr>
            <w:r>
              <w:rPr>
                <w:rFonts w:hint="eastAsia" w:ascii="黑体" w:hAnsi="黑体" w:eastAsia="黑体"/>
                <w:color w:val="auto"/>
                <w:kern w:val="0"/>
                <w:szCs w:val="21"/>
              </w:rPr>
              <w:t>一、</w:t>
            </w:r>
            <w:bookmarkStart w:id="0" w:name="_Hlk66973412"/>
            <w:r>
              <w:rPr>
                <w:rFonts w:hint="eastAsia" w:ascii="黑体" w:hAnsi="黑体" w:eastAsia="黑体"/>
                <w:color w:val="auto"/>
                <w:kern w:val="0"/>
                <w:szCs w:val="21"/>
              </w:rPr>
              <w:t>本年新收政府信息公开申请数量</w:t>
            </w:r>
            <w:bookmarkEnd w:id="0"/>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701"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093" w:type="dxa"/>
            <w:gridSpan w:val="3"/>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黑体" w:hAnsi="黑体" w:eastAsia="黑体"/>
                <w:color w:val="auto"/>
                <w:szCs w:val="21"/>
              </w:rPr>
            </w:pPr>
            <w:r>
              <w:rPr>
                <w:rFonts w:hint="eastAsia" w:ascii="黑体" w:hAnsi="黑体" w:eastAsia="黑体"/>
                <w:color w:val="auto"/>
                <w:kern w:val="0"/>
                <w:szCs w:val="21"/>
              </w:rPr>
              <w:t>二、上年结转政府信息公开申请数量</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701"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restart"/>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textAlignment w:val="auto"/>
              <w:rPr>
                <w:rFonts w:ascii="黑体" w:hAnsi="黑体" w:eastAsia="黑体"/>
                <w:color w:val="auto"/>
                <w:szCs w:val="21"/>
              </w:rPr>
            </w:pPr>
            <w:r>
              <w:rPr>
                <w:rFonts w:hint="eastAsia" w:ascii="黑体" w:hAnsi="黑体" w:eastAsia="黑体"/>
                <w:color w:val="auto"/>
                <w:kern w:val="0"/>
                <w:szCs w:val="21"/>
              </w:rPr>
              <w:t>三、本年度办理结果</w:t>
            </w:r>
          </w:p>
        </w:tc>
        <w:tc>
          <w:tcPr>
            <w:tcW w:w="4677"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黑体" w:hAnsi="黑体" w:eastAsia="黑体"/>
                <w:color w:val="auto"/>
                <w:szCs w:val="21"/>
              </w:rPr>
            </w:pPr>
            <w:r>
              <w:rPr>
                <w:rFonts w:hint="eastAsia" w:ascii="黑体" w:hAnsi="黑体" w:eastAsia="黑体"/>
                <w:color w:val="auto"/>
                <w:kern w:val="0"/>
                <w:szCs w:val="21"/>
              </w:rPr>
              <w:t>（一）予以公开</w:t>
            </w:r>
          </w:p>
        </w:tc>
        <w:tc>
          <w:tcPr>
            <w:tcW w:w="752"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3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701"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黑体" w:hAnsi="黑体" w:eastAsia="黑体"/>
                <w:color w:val="auto"/>
                <w:szCs w:val="21"/>
              </w:rPr>
            </w:pPr>
          </w:p>
        </w:tc>
        <w:tc>
          <w:tcPr>
            <w:tcW w:w="4677"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黑体" w:hAnsi="黑体" w:eastAsia="黑体"/>
                <w:color w:val="auto"/>
                <w:szCs w:val="21"/>
              </w:rPr>
            </w:pPr>
            <w:r>
              <w:rPr>
                <w:rFonts w:hint="eastAsia" w:ascii="黑体" w:hAnsi="黑体" w:eastAsia="黑体"/>
                <w:color w:val="auto"/>
                <w:kern w:val="0"/>
                <w:szCs w:val="21"/>
              </w:rPr>
              <w:t>（二）部分公开（</w:t>
            </w:r>
            <w:bookmarkStart w:id="1" w:name="_Hlk66973981"/>
            <w:r>
              <w:rPr>
                <w:rFonts w:hint="eastAsia" w:ascii="黑体" w:hAnsi="黑体" w:eastAsia="黑体"/>
                <w:color w:val="auto"/>
                <w:kern w:val="0"/>
                <w:szCs w:val="21"/>
              </w:rPr>
              <w:t>区分处理的，只计这一情形，不计其他情形</w:t>
            </w:r>
            <w:bookmarkEnd w:id="1"/>
            <w:r>
              <w:rPr>
                <w:rFonts w:hint="eastAsia" w:ascii="黑体" w:hAnsi="黑体" w:eastAsia="黑体"/>
                <w:color w:val="auto"/>
                <w:kern w:val="0"/>
                <w:szCs w:val="21"/>
              </w:rPr>
              <w:t>）</w:t>
            </w:r>
          </w:p>
        </w:tc>
        <w:tc>
          <w:tcPr>
            <w:tcW w:w="752"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3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701"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黑体" w:hAnsi="黑体" w:eastAsia="黑体"/>
                <w:color w:val="auto"/>
                <w:szCs w:val="21"/>
              </w:rPr>
            </w:pPr>
          </w:p>
        </w:tc>
        <w:tc>
          <w:tcPr>
            <w:tcW w:w="1701" w:type="dxa"/>
            <w:vMerge w:val="restart"/>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107" w:leftChars="-51"/>
              <w:textAlignment w:val="auto"/>
              <w:rPr>
                <w:rFonts w:ascii="黑体" w:hAnsi="黑体" w:eastAsia="黑体"/>
                <w:color w:val="auto"/>
                <w:szCs w:val="21"/>
              </w:rPr>
            </w:pPr>
            <w:r>
              <w:rPr>
                <w:rFonts w:hint="eastAsia" w:ascii="黑体" w:hAnsi="黑体" w:eastAsia="黑体"/>
                <w:color w:val="auto"/>
                <w:kern w:val="0"/>
                <w:szCs w:val="21"/>
              </w:rPr>
              <w:t>（三）不予公开</w:t>
            </w:r>
          </w:p>
        </w:tc>
        <w:tc>
          <w:tcPr>
            <w:tcW w:w="2976"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仿宋_GB2312" w:hAnsi="黑体" w:eastAsia="仿宋_GB2312"/>
                <w:color w:val="auto"/>
                <w:kern w:val="0"/>
                <w:szCs w:val="21"/>
              </w:rPr>
            </w:pPr>
            <w:r>
              <w:rPr>
                <w:rFonts w:hint="eastAsia" w:ascii="仿宋_GB2312" w:hAnsi="黑体" w:eastAsia="仿宋_GB2312"/>
                <w:color w:val="auto"/>
                <w:kern w:val="0"/>
                <w:szCs w:val="21"/>
              </w:rPr>
              <w:t>1.属于国家秘密</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黑体" w:hAnsi="黑体" w:eastAsia="黑体"/>
                <w:color w:val="auto"/>
                <w:szCs w:val="21"/>
              </w:rPr>
            </w:pPr>
          </w:p>
        </w:tc>
        <w:tc>
          <w:tcPr>
            <w:tcW w:w="1701"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黑体" w:hAnsi="黑体" w:eastAsia="黑体"/>
                <w:color w:val="auto"/>
                <w:szCs w:val="21"/>
              </w:rPr>
            </w:pPr>
          </w:p>
        </w:tc>
        <w:tc>
          <w:tcPr>
            <w:tcW w:w="2976"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仿宋_GB2312" w:hAnsi="黑体" w:eastAsia="仿宋_GB2312"/>
                <w:color w:val="auto"/>
                <w:kern w:val="0"/>
                <w:szCs w:val="21"/>
              </w:rPr>
            </w:pPr>
            <w:r>
              <w:rPr>
                <w:rFonts w:hint="eastAsia" w:ascii="仿宋_GB2312" w:hAnsi="黑体" w:eastAsia="仿宋_GB2312"/>
                <w:color w:val="auto"/>
                <w:kern w:val="0"/>
                <w:szCs w:val="21"/>
              </w:rPr>
              <w:t>2.</w:t>
            </w:r>
            <w:bookmarkStart w:id="2" w:name="_Hlk66974104"/>
            <w:r>
              <w:rPr>
                <w:rFonts w:hint="eastAsia" w:ascii="仿宋_GB2312" w:hAnsi="黑体" w:eastAsia="仿宋_GB2312"/>
                <w:color w:val="auto"/>
                <w:kern w:val="0"/>
                <w:szCs w:val="21"/>
              </w:rPr>
              <w:t>其他法律行政法规禁止公开</w:t>
            </w:r>
            <w:bookmarkEnd w:id="2"/>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黑体" w:hAnsi="黑体" w:eastAsia="黑体"/>
                <w:color w:val="auto"/>
                <w:szCs w:val="21"/>
              </w:rPr>
            </w:pPr>
          </w:p>
        </w:tc>
        <w:tc>
          <w:tcPr>
            <w:tcW w:w="1701"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黑体" w:hAnsi="黑体" w:eastAsia="黑体"/>
                <w:color w:val="auto"/>
                <w:szCs w:val="21"/>
              </w:rPr>
            </w:pPr>
          </w:p>
        </w:tc>
        <w:tc>
          <w:tcPr>
            <w:tcW w:w="2976"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仿宋_GB2312" w:hAnsi="黑体" w:eastAsia="仿宋_GB2312"/>
                <w:color w:val="auto"/>
                <w:kern w:val="0"/>
                <w:szCs w:val="21"/>
              </w:rPr>
            </w:pPr>
            <w:r>
              <w:rPr>
                <w:rFonts w:hint="eastAsia" w:ascii="仿宋_GB2312" w:hAnsi="黑体" w:eastAsia="仿宋_GB2312"/>
                <w:color w:val="auto"/>
                <w:kern w:val="0"/>
                <w:szCs w:val="21"/>
              </w:rPr>
              <w:t>3.危及“三安全一稳定”</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黑体" w:hAnsi="黑体" w:eastAsia="黑体"/>
                <w:color w:val="auto"/>
                <w:szCs w:val="21"/>
              </w:rPr>
            </w:pPr>
          </w:p>
        </w:tc>
        <w:tc>
          <w:tcPr>
            <w:tcW w:w="1701"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黑体" w:hAnsi="黑体" w:eastAsia="黑体"/>
                <w:color w:val="auto"/>
                <w:szCs w:val="21"/>
              </w:rPr>
            </w:pPr>
          </w:p>
        </w:tc>
        <w:tc>
          <w:tcPr>
            <w:tcW w:w="2976"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仿宋_GB2312" w:hAnsi="黑体" w:eastAsia="仿宋_GB2312"/>
                <w:color w:val="auto"/>
                <w:kern w:val="0"/>
                <w:szCs w:val="21"/>
              </w:rPr>
            </w:pPr>
            <w:r>
              <w:rPr>
                <w:rFonts w:hint="eastAsia" w:ascii="仿宋_GB2312" w:hAnsi="黑体" w:eastAsia="仿宋_GB2312"/>
                <w:color w:val="auto"/>
                <w:kern w:val="0"/>
                <w:szCs w:val="21"/>
              </w:rPr>
              <w:t>4.</w:t>
            </w:r>
            <w:bookmarkStart w:id="3" w:name="_Hlk66974290"/>
            <w:r>
              <w:rPr>
                <w:rFonts w:hint="eastAsia" w:ascii="仿宋_GB2312" w:hAnsi="黑体" w:eastAsia="仿宋_GB2312"/>
                <w:color w:val="auto"/>
                <w:kern w:val="0"/>
                <w:szCs w:val="21"/>
              </w:rPr>
              <w:t>保护第三方合法权益</w:t>
            </w:r>
            <w:bookmarkEnd w:id="3"/>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黑体" w:hAnsi="黑体" w:eastAsia="黑体"/>
                <w:color w:val="auto"/>
                <w:szCs w:val="21"/>
              </w:rPr>
            </w:pPr>
          </w:p>
        </w:tc>
        <w:tc>
          <w:tcPr>
            <w:tcW w:w="1701"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黑体" w:hAnsi="黑体" w:eastAsia="黑体"/>
                <w:color w:val="auto"/>
                <w:szCs w:val="21"/>
              </w:rPr>
            </w:pPr>
          </w:p>
        </w:tc>
        <w:tc>
          <w:tcPr>
            <w:tcW w:w="2976"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仿宋_GB2312" w:hAnsi="黑体" w:eastAsia="仿宋_GB2312"/>
                <w:color w:val="auto"/>
                <w:kern w:val="0"/>
                <w:szCs w:val="21"/>
              </w:rPr>
            </w:pPr>
            <w:r>
              <w:rPr>
                <w:rFonts w:hint="eastAsia" w:ascii="仿宋_GB2312" w:hAnsi="黑体" w:eastAsia="仿宋_GB2312"/>
                <w:color w:val="auto"/>
                <w:kern w:val="0"/>
                <w:szCs w:val="21"/>
              </w:rPr>
              <w:t>5.属于三类内部事务信息</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黑体" w:hAnsi="黑体" w:eastAsia="黑体"/>
                <w:color w:val="auto"/>
                <w:szCs w:val="21"/>
              </w:rPr>
            </w:pPr>
          </w:p>
        </w:tc>
        <w:tc>
          <w:tcPr>
            <w:tcW w:w="1701"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黑体" w:hAnsi="黑体" w:eastAsia="黑体"/>
                <w:color w:val="auto"/>
                <w:szCs w:val="21"/>
              </w:rPr>
            </w:pPr>
          </w:p>
        </w:tc>
        <w:tc>
          <w:tcPr>
            <w:tcW w:w="2976"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仿宋_GB2312" w:hAnsi="黑体" w:eastAsia="仿宋_GB2312"/>
                <w:color w:val="auto"/>
                <w:kern w:val="0"/>
                <w:szCs w:val="21"/>
              </w:rPr>
            </w:pPr>
            <w:r>
              <w:rPr>
                <w:rFonts w:hint="eastAsia" w:ascii="仿宋_GB2312" w:hAnsi="黑体" w:eastAsia="仿宋_GB2312"/>
                <w:color w:val="auto"/>
                <w:kern w:val="0"/>
                <w:szCs w:val="21"/>
              </w:rPr>
              <w:t>6.</w:t>
            </w:r>
            <w:bookmarkStart w:id="4" w:name="_Hlk66974555"/>
            <w:r>
              <w:rPr>
                <w:rFonts w:hint="eastAsia" w:ascii="仿宋_GB2312" w:hAnsi="黑体" w:eastAsia="仿宋_GB2312"/>
                <w:color w:val="auto"/>
                <w:kern w:val="0"/>
                <w:szCs w:val="21"/>
              </w:rPr>
              <w:t>属于四类过程性信息</w:t>
            </w:r>
            <w:bookmarkEnd w:id="4"/>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黑体" w:hAnsi="黑体" w:eastAsia="黑体"/>
                <w:color w:val="auto"/>
                <w:szCs w:val="21"/>
              </w:rPr>
            </w:pPr>
          </w:p>
        </w:tc>
        <w:tc>
          <w:tcPr>
            <w:tcW w:w="1701"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黑体" w:hAnsi="黑体" w:eastAsia="黑体"/>
                <w:color w:val="auto"/>
                <w:szCs w:val="21"/>
              </w:rPr>
            </w:pPr>
          </w:p>
        </w:tc>
        <w:tc>
          <w:tcPr>
            <w:tcW w:w="2976"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仿宋_GB2312" w:hAnsi="黑体" w:eastAsia="仿宋_GB2312"/>
                <w:color w:val="auto"/>
                <w:kern w:val="0"/>
                <w:szCs w:val="21"/>
              </w:rPr>
            </w:pPr>
            <w:r>
              <w:rPr>
                <w:rFonts w:hint="eastAsia" w:ascii="仿宋_GB2312" w:hAnsi="黑体" w:eastAsia="仿宋_GB2312"/>
                <w:color w:val="auto"/>
                <w:kern w:val="0"/>
                <w:szCs w:val="21"/>
              </w:rPr>
              <w:t>7.属于行政执法案卷</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黑体" w:hAnsi="黑体" w:eastAsia="黑体"/>
                <w:color w:val="auto"/>
                <w:szCs w:val="21"/>
              </w:rPr>
            </w:pPr>
          </w:p>
        </w:tc>
        <w:tc>
          <w:tcPr>
            <w:tcW w:w="1701"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黑体" w:hAnsi="黑体" w:eastAsia="黑体"/>
                <w:color w:val="auto"/>
                <w:szCs w:val="21"/>
              </w:rPr>
            </w:pPr>
          </w:p>
        </w:tc>
        <w:tc>
          <w:tcPr>
            <w:tcW w:w="2976"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仿宋_GB2312" w:hAnsi="黑体" w:eastAsia="仿宋_GB2312"/>
                <w:color w:val="auto"/>
                <w:kern w:val="0"/>
                <w:szCs w:val="21"/>
              </w:rPr>
            </w:pPr>
            <w:r>
              <w:rPr>
                <w:rFonts w:hint="eastAsia" w:ascii="仿宋_GB2312" w:hAnsi="黑体" w:eastAsia="仿宋_GB2312"/>
                <w:color w:val="auto"/>
                <w:kern w:val="0"/>
                <w:szCs w:val="21"/>
              </w:rPr>
              <w:t>8.</w:t>
            </w:r>
            <w:bookmarkStart w:id="5" w:name="_Hlk66975211"/>
            <w:r>
              <w:rPr>
                <w:rFonts w:hint="eastAsia" w:ascii="仿宋_GB2312" w:hAnsi="黑体" w:eastAsia="仿宋_GB2312"/>
                <w:color w:val="auto"/>
                <w:kern w:val="0"/>
                <w:szCs w:val="21"/>
              </w:rPr>
              <w:t>属于行政查询事项</w:t>
            </w:r>
            <w:bookmarkEnd w:id="5"/>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黑体" w:hAnsi="黑体" w:eastAsia="黑体"/>
                <w:color w:val="auto"/>
                <w:szCs w:val="21"/>
              </w:rPr>
            </w:pPr>
          </w:p>
        </w:tc>
        <w:tc>
          <w:tcPr>
            <w:tcW w:w="1701" w:type="dxa"/>
            <w:vMerge w:val="restart"/>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107" w:leftChars="-51"/>
              <w:textAlignment w:val="auto"/>
              <w:rPr>
                <w:rFonts w:ascii="黑体" w:hAnsi="黑体" w:eastAsia="黑体"/>
                <w:color w:val="auto"/>
                <w:szCs w:val="21"/>
              </w:rPr>
            </w:pPr>
            <w:r>
              <w:rPr>
                <w:rFonts w:hint="eastAsia" w:ascii="黑体" w:hAnsi="黑体" w:eastAsia="黑体"/>
                <w:color w:val="auto"/>
                <w:kern w:val="0"/>
                <w:szCs w:val="21"/>
              </w:rPr>
              <w:t>（四）无法提供</w:t>
            </w:r>
          </w:p>
        </w:tc>
        <w:tc>
          <w:tcPr>
            <w:tcW w:w="2976"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仿宋_GB2312" w:hAnsi="黑体" w:eastAsia="仿宋_GB2312"/>
                <w:color w:val="auto"/>
                <w:kern w:val="0"/>
                <w:szCs w:val="21"/>
              </w:rPr>
            </w:pPr>
            <w:r>
              <w:rPr>
                <w:rFonts w:hint="eastAsia" w:ascii="仿宋_GB2312" w:hAnsi="黑体" w:eastAsia="仿宋_GB2312"/>
                <w:color w:val="auto"/>
                <w:kern w:val="0"/>
                <w:szCs w:val="21"/>
              </w:rPr>
              <w:t>1.本机关不掌握相关政府信息</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黑体" w:hAnsi="黑体" w:eastAsia="黑体"/>
                <w:color w:val="auto"/>
                <w:szCs w:val="21"/>
              </w:rPr>
            </w:pPr>
          </w:p>
        </w:tc>
        <w:tc>
          <w:tcPr>
            <w:tcW w:w="1701"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107" w:leftChars="-51"/>
              <w:textAlignment w:val="auto"/>
              <w:rPr>
                <w:rFonts w:ascii="黑体" w:hAnsi="黑体" w:eastAsia="黑体"/>
                <w:color w:val="auto"/>
                <w:szCs w:val="21"/>
              </w:rPr>
            </w:pPr>
          </w:p>
        </w:tc>
        <w:tc>
          <w:tcPr>
            <w:tcW w:w="2976"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仿宋_GB2312" w:hAnsi="黑体" w:eastAsia="仿宋_GB2312"/>
                <w:color w:val="auto"/>
                <w:kern w:val="0"/>
                <w:szCs w:val="21"/>
              </w:rPr>
            </w:pPr>
            <w:r>
              <w:rPr>
                <w:rFonts w:hint="eastAsia" w:ascii="仿宋_GB2312" w:hAnsi="黑体" w:eastAsia="仿宋_GB2312"/>
                <w:color w:val="auto"/>
                <w:kern w:val="0"/>
                <w:szCs w:val="21"/>
              </w:rPr>
              <w:t>2.</w:t>
            </w:r>
            <w:bookmarkStart w:id="6" w:name="_Hlk66975392"/>
            <w:r>
              <w:rPr>
                <w:rFonts w:hint="eastAsia" w:ascii="仿宋_GB2312" w:hAnsi="黑体" w:eastAsia="仿宋_GB2312"/>
                <w:color w:val="auto"/>
                <w:kern w:val="0"/>
                <w:szCs w:val="21"/>
              </w:rPr>
              <w:t>没有现成信息需要另行制作</w:t>
            </w:r>
            <w:bookmarkEnd w:id="6"/>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黑体" w:hAnsi="黑体" w:eastAsia="黑体"/>
                <w:color w:val="auto"/>
                <w:szCs w:val="21"/>
              </w:rPr>
            </w:pPr>
          </w:p>
        </w:tc>
        <w:tc>
          <w:tcPr>
            <w:tcW w:w="1701"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ind w:left="-107" w:leftChars="-51"/>
              <w:textAlignment w:val="auto"/>
              <w:rPr>
                <w:rFonts w:ascii="黑体" w:hAnsi="黑体" w:eastAsia="黑体"/>
                <w:color w:val="auto"/>
                <w:szCs w:val="21"/>
              </w:rPr>
            </w:pPr>
          </w:p>
        </w:tc>
        <w:tc>
          <w:tcPr>
            <w:tcW w:w="2976"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仿宋_GB2312" w:hAnsi="黑体" w:eastAsia="仿宋_GB2312"/>
                <w:color w:val="auto"/>
                <w:kern w:val="0"/>
                <w:szCs w:val="21"/>
              </w:rPr>
            </w:pPr>
            <w:r>
              <w:rPr>
                <w:rFonts w:hint="eastAsia" w:ascii="仿宋_GB2312" w:hAnsi="黑体" w:eastAsia="仿宋_GB2312"/>
                <w:color w:val="auto"/>
                <w:kern w:val="0"/>
                <w:szCs w:val="21"/>
              </w:rPr>
              <w:t>3.</w:t>
            </w:r>
            <w:bookmarkStart w:id="7" w:name="_Hlk66975466"/>
            <w:r>
              <w:rPr>
                <w:rFonts w:hint="eastAsia" w:ascii="仿宋_GB2312" w:hAnsi="黑体" w:eastAsia="仿宋_GB2312"/>
                <w:color w:val="auto"/>
                <w:kern w:val="0"/>
                <w:szCs w:val="21"/>
              </w:rPr>
              <w:t>补正后申请内容仍不明确</w:t>
            </w:r>
            <w:bookmarkEnd w:id="7"/>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黑体" w:hAnsi="黑体" w:eastAsia="黑体"/>
                <w:color w:val="auto"/>
                <w:szCs w:val="21"/>
              </w:rPr>
            </w:pPr>
          </w:p>
        </w:tc>
        <w:tc>
          <w:tcPr>
            <w:tcW w:w="1701" w:type="dxa"/>
            <w:vMerge w:val="restart"/>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107" w:leftChars="-51"/>
              <w:textAlignment w:val="auto"/>
              <w:rPr>
                <w:rFonts w:ascii="黑体" w:hAnsi="黑体" w:eastAsia="黑体"/>
                <w:color w:val="auto"/>
                <w:szCs w:val="21"/>
              </w:rPr>
            </w:pPr>
            <w:r>
              <w:rPr>
                <w:rFonts w:hint="eastAsia" w:ascii="黑体" w:hAnsi="黑体" w:eastAsia="黑体"/>
                <w:color w:val="auto"/>
                <w:kern w:val="0"/>
                <w:szCs w:val="21"/>
              </w:rPr>
              <w:t>（五）不予处理</w:t>
            </w:r>
          </w:p>
        </w:tc>
        <w:tc>
          <w:tcPr>
            <w:tcW w:w="2976"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仿宋_GB2312" w:hAnsi="黑体" w:eastAsia="仿宋_GB2312"/>
                <w:color w:val="auto"/>
                <w:kern w:val="0"/>
                <w:szCs w:val="21"/>
              </w:rPr>
            </w:pPr>
            <w:r>
              <w:rPr>
                <w:rFonts w:hint="eastAsia" w:ascii="仿宋_GB2312" w:hAnsi="黑体" w:eastAsia="仿宋_GB2312"/>
                <w:color w:val="auto"/>
                <w:kern w:val="0"/>
                <w:szCs w:val="21"/>
              </w:rPr>
              <w:t>1.</w:t>
            </w:r>
            <w:bookmarkStart w:id="8" w:name="_Hlk66975537"/>
            <w:r>
              <w:rPr>
                <w:rFonts w:hint="eastAsia" w:ascii="仿宋_GB2312" w:hAnsi="黑体" w:eastAsia="仿宋_GB2312"/>
                <w:color w:val="auto"/>
                <w:kern w:val="0"/>
                <w:szCs w:val="21"/>
              </w:rPr>
              <w:t>信访举报投诉类申请</w:t>
            </w:r>
            <w:bookmarkEnd w:id="8"/>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黑体" w:hAnsi="黑体" w:eastAsia="黑体"/>
                <w:color w:val="auto"/>
                <w:szCs w:val="21"/>
              </w:rPr>
            </w:pPr>
          </w:p>
        </w:tc>
        <w:tc>
          <w:tcPr>
            <w:tcW w:w="1701"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黑体" w:hAnsi="黑体" w:eastAsia="黑体"/>
                <w:color w:val="auto"/>
                <w:szCs w:val="21"/>
              </w:rPr>
            </w:pPr>
          </w:p>
        </w:tc>
        <w:tc>
          <w:tcPr>
            <w:tcW w:w="2976"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仿宋_GB2312" w:hAnsi="黑体" w:eastAsia="仿宋_GB2312"/>
                <w:color w:val="auto"/>
                <w:kern w:val="0"/>
                <w:szCs w:val="21"/>
              </w:rPr>
            </w:pPr>
            <w:r>
              <w:rPr>
                <w:rFonts w:hint="eastAsia" w:ascii="仿宋_GB2312" w:hAnsi="黑体" w:eastAsia="仿宋_GB2312"/>
                <w:color w:val="auto"/>
                <w:kern w:val="0"/>
                <w:szCs w:val="21"/>
              </w:rPr>
              <w:t>2.重复申请</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黑体" w:hAnsi="黑体" w:eastAsia="黑体"/>
                <w:color w:val="auto"/>
                <w:szCs w:val="21"/>
              </w:rPr>
            </w:pPr>
          </w:p>
        </w:tc>
        <w:tc>
          <w:tcPr>
            <w:tcW w:w="1701"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黑体" w:hAnsi="黑体" w:eastAsia="黑体"/>
                <w:color w:val="auto"/>
                <w:szCs w:val="21"/>
              </w:rPr>
            </w:pPr>
          </w:p>
        </w:tc>
        <w:tc>
          <w:tcPr>
            <w:tcW w:w="2976"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仿宋_GB2312" w:hAnsi="黑体" w:eastAsia="仿宋_GB2312"/>
                <w:color w:val="auto"/>
                <w:szCs w:val="21"/>
              </w:rPr>
            </w:pPr>
            <w:r>
              <w:rPr>
                <w:rFonts w:hint="eastAsia" w:ascii="仿宋_GB2312" w:hAnsi="黑体" w:eastAsia="仿宋_GB2312"/>
                <w:color w:val="auto"/>
                <w:kern w:val="0"/>
                <w:szCs w:val="21"/>
              </w:rPr>
              <w:t>3.要求提供公开出版物</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416"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黑体" w:hAnsi="黑体" w:eastAsia="黑体"/>
                <w:color w:val="auto"/>
                <w:szCs w:val="21"/>
              </w:rPr>
            </w:pPr>
          </w:p>
        </w:tc>
        <w:tc>
          <w:tcPr>
            <w:tcW w:w="1701"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黑体" w:hAnsi="黑体" w:eastAsia="黑体"/>
                <w:color w:val="auto"/>
                <w:szCs w:val="21"/>
              </w:rPr>
            </w:pPr>
          </w:p>
        </w:tc>
        <w:tc>
          <w:tcPr>
            <w:tcW w:w="2976"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仿宋_GB2312" w:hAnsi="黑体" w:eastAsia="仿宋_GB2312"/>
                <w:color w:val="auto"/>
                <w:szCs w:val="21"/>
              </w:rPr>
            </w:pPr>
            <w:r>
              <w:rPr>
                <w:rFonts w:hint="eastAsia" w:ascii="仿宋_GB2312" w:hAnsi="黑体" w:eastAsia="仿宋_GB2312"/>
                <w:color w:val="auto"/>
                <w:kern w:val="0"/>
                <w:szCs w:val="21"/>
              </w:rPr>
              <w:t>4.无正当理由大量反复申请</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黑体" w:hAnsi="黑体" w:eastAsia="黑体"/>
                <w:color w:val="auto"/>
                <w:szCs w:val="21"/>
              </w:rPr>
            </w:pPr>
          </w:p>
        </w:tc>
        <w:tc>
          <w:tcPr>
            <w:tcW w:w="1701"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黑体" w:hAnsi="黑体" w:eastAsia="黑体"/>
                <w:color w:val="auto"/>
                <w:szCs w:val="21"/>
              </w:rPr>
            </w:pPr>
          </w:p>
        </w:tc>
        <w:tc>
          <w:tcPr>
            <w:tcW w:w="2976"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仿宋_GB2312" w:hAnsi="黑体" w:eastAsia="仿宋_GB2312"/>
                <w:color w:val="auto"/>
                <w:kern w:val="0"/>
                <w:szCs w:val="21"/>
              </w:rPr>
            </w:pPr>
            <w:r>
              <w:rPr>
                <w:rFonts w:hint="eastAsia" w:ascii="仿宋_GB2312" w:hAnsi="黑体" w:eastAsia="仿宋_GB2312"/>
                <w:color w:val="auto"/>
                <w:kern w:val="0"/>
                <w:szCs w:val="21"/>
              </w:rPr>
              <w:t>5.要求行政机关确认或重新</w:t>
            </w:r>
          </w:p>
          <w:p>
            <w:pPr>
              <w:keepNext w:val="0"/>
              <w:keepLines w:val="0"/>
              <w:pageBreakBefore w:val="0"/>
              <w:widowControl/>
              <w:kinsoku/>
              <w:wordWrap/>
              <w:overflowPunct/>
              <w:topLinePunct w:val="0"/>
              <w:autoSpaceDE/>
              <w:autoSpaceDN/>
              <w:bidi w:val="0"/>
              <w:adjustRightInd/>
              <w:snapToGrid/>
              <w:spacing w:line="560" w:lineRule="exact"/>
              <w:ind w:firstLine="210" w:firstLineChars="100"/>
              <w:textAlignment w:val="auto"/>
              <w:rPr>
                <w:rFonts w:ascii="仿宋_GB2312" w:hAnsi="黑体" w:eastAsia="仿宋_GB2312"/>
                <w:color w:val="auto"/>
                <w:szCs w:val="21"/>
              </w:rPr>
            </w:pPr>
            <w:r>
              <w:rPr>
                <w:rFonts w:hint="eastAsia" w:ascii="仿宋_GB2312" w:hAnsi="黑体" w:eastAsia="仿宋_GB2312"/>
                <w:color w:val="auto"/>
                <w:kern w:val="0"/>
                <w:szCs w:val="21"/>
              </w:rPr>
              <w:t>出具已获取信息</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黑体" w:hAnsi="黑体" w:eastAsia="黑体"/>
                <w:color w:val="auto"/>
                <w:szCs w:val="21"/>
              </w:rPr>
            </w:pPr>
          </w:p>
        </w:tc>
        <w:tc>
          <w:tcPr>
            <w:tcW w:w="1701" w:type="dxa"/>
            <w:vMerge w:val="restart"/>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黑体" w:hAnsi="黑体" w:eastAsia="黑体"/>
                <w:color w:val="auto"/>
                <w:kern w:val="0"/>
                <w:szCs w:val="21"/>
              </w:rPr>
            </w:pPr>
            <w:r>
              <w:rPr>
                <w:rFonts w:hint="eastAsia" w:ascii="黑体" w:hAnsi="黑体" w:eastAsia="黑体"/>
                <w:color w:val="auto"/>
                <w:kern w:val="0"/>
                <w:szCs w:val="21"/>
              </w:rPr>
              <w:t>（六）其他处理</w:t>
            </w:r>
          </w:p>
        </w:tc>
        <w:tc>
          <w:tcPr>
            <w:tcW w:w="29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仿宋_GB2312" w:hAnsi="楷体" w:eastAsia="仿宋_GB2312"/>
                <w:color w:val="auto"/>
              </w:rPr>
            </w:pPr>
            <w:r>
              <w:rPr>
                <w:rFonts w:hint="eastAsia" w:ascii="仿宋_GB2312" w:hAnsi="楷体" w:eastAsia="仿宋_GB2312"/>
                <w:color w:val="auto"/>
              </w:rPr>
              <w:t>1.申请人无正当理由逾期不补正、行政机关不再处理其政府信息公开申请</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黑体" w:hAnsi="黑体" w:eastAsia="黑体"/>
                <w:color w:val="auto"/>
                <w:szCs w:val="21"/>
              </w:rPr>
            </w:pPr>
          </w:p>
        </w:tc>
        <w:tc>
          <w:tcPr>
            <w:tcW w:w="1701" w:type="dxa"/>
            <w:vMerge w:val="continue"/>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黑体" w:hAnsi="黑体" w:eastAsia="黑体"/>
                <w:color w:val="auto"/>
                <w:kern w:val="0"/>
                <w:szCs w:val="21"/>
              </w:rPr>
            </w:pPr>
          </w:p>
        </w:tc>
        <w:tc>
          <w:tcPr>
            <w:tcW w:w="29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仿宋_GB2312" w:hAnsi="黑体" w:eastAsia="仿宋_GB2312"/>
                <w:color w:val="auto"/>
                <w:kern w:val="0"/>
                <w:szCs w:val="21"/>
              </w:rPr>
            </w:pPr>
            <w:r>
              <w:rPr>
                <w:rFonts w:hint="eastAsia" w:ascii="仿宋_GB2312" w:hAnsi="楷体" w:eastAsia="仿宋_GB2312"/>
                <w:color w:val="auto"/>
              </w:rPr>
              <w:t>2.申请人逾期未按收费通知要求缴纳费用、行政机关不再处理其政府信息公开申请</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黑体" w:hAnsi="黑体" w:eastAsia="黑体"/>
                <w:color w:val="auto"/>
                <w:szCs w:val="21"/>
              </w:rPr>
            </w:pPr>
          </w:p>
        </w:tc>
        <w:tc>
          <w:tcPr>
            <w:tcW w:w="1701" w:type="dxa"/>
            <w:vMerge w:val="continue"/>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黑体" w:hAnsi="黑体" w:eastAsia="黑体"/>
                <w:color w:val="auto"/>
                <w:kern w:val="0"/>
                <w:szCs w:val="21"/>
              </w:rPr>
            </w:pPr>
          </w:p>
        </w:tc>
        <w:tc>
          <w:tcPr>
            <w:tcW w:w="297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仿宋_GB2312" w:hAnsi="黑体" w:eastAsia="仿宋_GB2312"/>
                <w:color w:val="auto"/>
                <w:kern w:val="0"/>
                <w:szCs w:val="21"/>
              </w:rPr>
            </w:pPr>
            <w:r>
              <w:rPr>
                <w:rFonts w:hint="eastAsia" w:ascii="仿宋_GB2312" w:hAnsi="楷体" w:eastAsia="仿宋_GB2312"/>
                <w:color w:val="auto"/>
              </w:rPr>
              <w:t>3.其他</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仿宋_GB2312" w:hAnsi="Times New Roman" w:eastAsia="仿宋_GB2312"/>
                <w:color w:val="auto"/>
                <w:szCs w:val="21"/>
                <w:lang w:val="en-US" w:eastAsia="zh-CN"/>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lang w:val="en-US"/>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黑体" w:hAnsi="黑体" w:eastAsia="黑体"/>
                <w:color w:val="auto"/>
                <w:szCs w:val="21"/>
              </w:rPr>
            </w:pPr>
          </w:p>
        </w:tc>
        <w:tc>
          <w:tcPr>
            <w:tcW w:w="4677"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黑体" w:hAnsi="黑体" w:eastAsia="黑体"/>
                <w:color w:val="auto"/>
                <w:kern w:val="0"/>
                <w:szCs w:val="21"/>
              </w:rPr>
            </w:pPr>
            <w:r>
              <w:rPr>
                <w:rFonts w:hint="eastAsia" w:ascii="黑体" w:hAnsi="黑体" w:eastAsia="黑体"/>
                <w:color w:val="auto"/>
                <w:kern w:val="0"/>
                <w:szCs w:val="21"/>
              </w:rPr>
              <w:t>（七）总计</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lang w:val="en-US"/>
              </w:rPr>
            </w:pPr>
            <w:r>
              <w:rPr>
                <w:rFonts w:hint="eastAsia" w:ascii="仿宋_GB2312" w:hAnsi="Times New Roman" w:eastAsia="仿宋_GB2312"/>
                <w:color w:val="auto"/>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093" w:type="dxa"/>
            <w:gridSpan w:val="3"/>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黑体" w:hAnsi="黑体" w:eastAsia="黑体"/>
                <w:color w:val="auto"/>
                <w:kern w:val="0"/>
                <w:szCs w:val="21"/>
              </w:rPr>
            </w:pPr>
            <w:r>
              <w:rPr>
                <w:rFonts w:hint="eastAsia" w:ascii="黑体" w:hAnsi="黑体" w:eastAsia="黑体"/>
                <w:color w:val="auto"/>
                <w:kern w:val="0"/>
                <w:szCs w:val="21"/>
              </w:rPr>
              <w:t>四、结转下年度继续办理</w:t>
            </w:r>
          </w:p>
        </w:tc>
        <w:tc>
          <w:tcPr>
            <w:tcW w:w="747"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40" w:type="dxa"/>
            <w:gridSpan w:val="2"/>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20"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67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525"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rPr>
            </w:pPr>
            <w:r>
              <w:rPr>
                <w:rFonts w:hint="eastAsia" w:ascii="仿宋_GB2312" w:hAnsi="Times New Roman" w:eastAsia="仿宋_GB2312"/>
                <w:color w:val="auto"/>
                <w:szCs w:val="21"/>
                <w:lang w:val="en-US" w:eastAsia="zh-CN"/>
              </w:rPr>
              <w:t>0</w:t>
            </w:r>
          </w:p>
        </w:tc>
        <w:tc>
          <w:tcPr>
            <w:tcW w:w="701" w:type="dxa"/>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仿宋_GB2312" w:hAnsi="Times New Roman" w:eastAsia="仿宋_GB2312"/>
                <w:color w:val="auto"/>
                <w:szCs w:val="21"/>
                <w:lang w:val="en-US"/>
              </w:rPr>
            </w:pPr>
            <w:r>
              <w:rPr>
                <w:rFonts w:hint="eastAsia" w:ascii="仿宋_GB2312" w:hAnsi="Times New Roman" w:eastAsia="仿宋_GB2312"/>
                <w:color w:val="auto"/>
                <w:szCs w:val="21"/>
                <w:lang w:val="en-US" w:eastAsia="zh-CN"/>
              </w:rPr>
              <w:t>0</w:t>
            </w:r>
          </w:p>
        </w:tc>
      </w:tr>
    </w:tbl>
    <w:p>
      <w:pPr>
        <w:keepNext w:val="0"/>
        <w:keepLines w:val="0"/>
        <w:pageBreakBefore w:val="0"/>
        <w:kinsoku/>
        <w:wordWrap/>
        <w:overflowPunct/>
        <w:topLinePunct w:val="0"/>
        <w:autoSpaceDE/>
        <w:autoSpaceDN/>
        <w:bidi w:val="0"/>
        <w:adjustRightInd/>
        <w:snapToGrid/>
        <w:spacing w:line="560" w:lineRule="exact"/>
        <w:textAlignment w:val="auto"/>
        <w:rPr>
          <w:rFonts w:ascii="仿宋_GB2312" w:eastAsia="仿宋_GB2312"/>
          <w:color w:val="auto"/>
          <w:sz w:val="32"/>
          <w:szCs w:val="32"/>
        </w:rPr>
      </w:pPr>
      <w:r>
        <w:rPr>
          <w:rFonts w:hint="eastAsia" w:ascii="黑体" w:hAnsi="黑体" w:eastAsia="黑体" w:cs="黑体"/>
          <w:b w:val="0"/>
          <w:bCs/>
          <w:i w:val="0"/>
          <w:caps w:val="0"/>
          <w:color w:val="auto"/>
          <w:spacing w:val="0"/>
          <w:kern w:val="0"/>
          <w:sz w:val="32"/>
          <w:szCs w:val="32"/>
          <w:shd w:val="clear" w:fill="FFFFFF"/>
          <w:lang w:val="en-US" w:eastAsia="zh-CN" w:bidi="ar"/>
        </w:rPr>
        <w:t>四、政府信息公开行政复议、行政诉讼情况</w:t>
      </w:r>
    </w:p>
    <w:tbl>
      <w:tblPr>
        <w:tblStyle w:val="3"/>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7" w:hRule="atLeast"/>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黑体" w:hAnsi="黑体" w:eastAsia="黑体"/>
                <w:color w:val="auto"/>
              </w:rPr>
            </w:pPr>
            <w:r>
              <w:rPr>
                <w:rFonts w:ascii="黑体" w:hAnsi="黑体" w:eastAsia="黑体"/>
                <w:color w:val="auto"/>
                <w:kern w:val="0"/>
                <w:sz w:val="20"/>
                <w:szCs w:val="20"/>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黑体" w:hAnsi="黑体" w:eastAsia="黑体"/>
                <w:color w:val="auto"/>
              </w:rPr>
            </w:pPr>
            <w:r>
              <w:rPr>
                <w:rFonts w:ascii="黑体" w:hAnsi="黑体" w:eastAsia="黑体"/>
                <w:color w:val="auto"/>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149" w:leftChars="-71" w:right="-170" w:rightChars="-81"/>
              <w:jc w:val="center"/>
              <w:textAlignment w:val="auto"/>
              <w:rPr>
                <w:rFonts w:ascii="黑体" w:hAnsi="黑体" w:eastAsia="黑体"/>
                <w:color w:val="auto"/>
                <w:kern w:val="0"/>
                <w:sz w:val="20"/>
                <w:szCs w:val="20"/>
              </w:rPr>
            </w:pPr>
            <w:r>
              <w:rPr>
                <w:rFonts w:ascii="黑体" w:hAnsi="黑体" w:eastAsia="黑体"/>
                <w:color w:val="auto"/>
                <w:kern w:val="0"/>
                <w:sz w:val="20"/>
                <w:szCs w:val="20"/>
              </w:rPr>
              <w:t>结果</w:t>
            </w:r>
          </w:p>
          <w:p>
            <w:pPr>
              <w:keepNext w:val="0"/>
              <w:keepLines w:val="0"/>
              <w:pageBreakBefore w:val="0"/>
              <w:widowControl/>
              <w:kinsoku/>
              <w:wordWrap/>
              <w:overflowPunct/>
              <w:topLinePunct w:val="0"/>
              <w:autoSpaceDE/>
              <w:autoSpaceDN/>
              <w:bidi w:val="0"/>
              <w:adjustRightInd/>
              <w:snapToGrid/>
              <w:spacing w:line="560" w:lineRule="exact"/>
              <w:ind w:left="-149" w:leftChars="-71" w:right="-170" w:rightChars="-81"/>
              <w:jc w:val="center"/>
              <w:textAlignment w:val="auto"/>
              <w:rPr>
                <w:rFonts w:ascii="黑体" w:hAnsi="黑体" w:eastAsia="黑体"/>
                <w:color w:val="auto"/>
              </w:rPr>
            </w:pPr>
            <w:r>
              <w:rPr>
                <w:rFonts w:ascii="黑体" w:hAnsi="黑体" w:eastAsia="黑体"/>
                <w:color w:val="auto"/>
                <w:kern w:val="0"/>
                <w:sz w:val="20"/>
                <w:szCs w:val="20"/>
              </w:rPr>
              <w:t>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43" w:leftChars="-21" w:right="-132" w:rightChars="-63" w:hanging="1"/>
              <w:jc w:val="center"/>
              <w:textAlignment w:val="auto"/>
              <w:rPr>
                <w:rFonts w:ascii="黑体" w:hAnsi="黑体" w:eastAsia="黑体"/>
                <w:color w:val="auto"/>
              </w:rPr>
            </w:pPr>
            <w:r>
              <w:rPr>
                <w:rFonts w:ascii="黑体" w:hAnsi="黑体" w:eastAsia="黑体"/>
                <w:color w:val="auto"/>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82" w:leftChars="-39" w:right="-97" w:rightChars="-46"/>
              <w:jc w:val="center"/>
              <w:textAlignment w:val="auto"/>
              <w:rPr>
                <w:rFonts w:ascii="黑体" w:hAnsi="黑体" w:eastAsia="黑体"/>
                <w:color w:val="auto"/>
              </w:rPr>
            </w:pPr>
            <w:r>
              <w:rPr>
                <w:rFonts w:ascii="黑体" w:hAnsi="黑体" w:eastAsia="黑体"/>
                <w:color w:val="auto"/>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118" w:leftChars="-56" w:right="-118" w:rightChars="-56"/>
              <w:jc w:val="center"/>
              <w:textAlignment w:val="auto"/>
              <w:rPr>
                <w:rFonts w:ascii="黑体" w:hAnsi="黑体" w:eastAsia="黑体"/>
                <w:color w:val="auto"/>
                <w:kern w:val="0"/>
                <w:sz w:val="20"/>
                <w:szCs w:val="20"/>
              </w:rPr>
            </w:pPr>
            <w:r>
              <w:rPr>
                <w:rFonts w:ascii="黑体" w:hAnsi="黑体" w:eastAsia="黑体"/>
                <w:color w:val="auto"/>
                <w:kern w:val="0"/>
                <w:sz w:val="20"/>
                <w:szCs w:val="20"/>
              </w:rPr>
              <w:t>尚未</w:t>
            </w:r>
          </w:p>
          <w:p>
            <w:pPr>
              <w:keepNext w:val="0"/>
              <w:keepLines w:val="0"/>
              <w:pageBreakBefore w:val="0"/>
              <w:widowControl/>
              <w:kinsoku/>
              <w:wordWrap/>
              <w:overflowPunct/>
              <w:topLinePunct w:val="0"/>
              <w:autoSpaceDE/>
              <w:autoSpaceDN/>
              <w:bidi w:val="0"/>
              <w:adjustRightInd/>
              <w:snapToGrid/>
              <w:spacing w:line="560" w:lineRule="exact"/>
              <w:ind w:left="-118" w:leftChars="-56" w:right="-118" w:rightChars="-56"/>
              <w:jc w:val="center"/>
              <w:textAlignment w:val="auto"/>
              <w:rPr>
                <w:rFonts w:ascii="黑体" w:hAnsi="黑体" w:eastAsia="黑体"/>
                <w:color w:val="auto"/>
              </w:rPr>
            </w:pPr>
            <w:r>
              <w:rPr>
                <w:rFonts w:ascii="黑体" w:hAnsi="黑体" w:eastAsia="黑体"/>
                <w:color w:val="auto"/>
                <w:kern w:val="0"/>
                <w:sz w:val="20"/>
                <w:szCs w:val="20"/>
              </w:rPr>
              <w:t>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黑体" w:hAnsi="黑体" w:eastAsia="黑体"/>
                <w:color w:val="auto"/>
                <w:kern w:val="0"/>
                <w:sz w:val="20"/>
                <w:szCs w:val="20"/>
              </w:rPr>
            </w:pPr>
            <w:r>
              <w:rPr>
                <w:rFonts w:ascii="黑体" w:hAnsi="黑体" w:eastAsia="黑体"/>
                <w:color w:val="auto"/>
                <w:kern w:val="0"/>
                <w:sz w:val="20"/>
                <w:szCs w:val="20"/>
              </w:rPr>
              <w:t>总</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黑体" w:hAnsi="黑体" w:eastAsia="黑体"/>
                <w:color w:val="auto"/>
              </w:rPr>
            </w:pPr>
            <w:r>
              <w:rPr>
                <w:rFonts w:ascii="黑体" w:hAnsi="黑体" w:eastAsia="黑体"/>
                <w:color w:val="auto"/>
                <w:kern w:val="0"/>
                <w:sz w:val="20"/>
                <w:szCs w:val="20"/>
              </w:rPr>
              <w:t>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黑体" w:hAnsi="黑体" w:eastAsia="黑体"/>
                <w:color w:val="auto"/>
              </w:rPr>
            </w:pPr>
            <w:r>
              <w:rPr>
                <w:rFonts w:ascii="黑体" w:hAnsi="黑体" w:eastAsia="黑体"/>
                <w:color w:val="auto"/>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黑体" w:hAnsi="黑体" w:eastAsia="黑体"/>
                <w:color w:val="auto"/>
              </w:rPr>
            </w:pPr>
            <w:bookmarkStart w:id="9" w:name="_Hlk67039688"/>
            <w:r>
              <w:rPr>
                <w:rFonts w:ascii="黑体" w:hAnsi="黑体" w:eastAsia="黑体"/>
                <w:color w:val="auto"/>
                <w:kern w:val="0"/>
                <w:sz w:val="20"/>
                <w:szCs w:val="20"/>
              </w:rPr>
              <w:t>复议后起诉</w:t>
            </w:r>
            <w:bookmarkEnd w:id="9"/>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36" w:hRule="atLeast"/>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黑体" w:hAnsi="黑体" w:eastAsia="黑体"/>
                <w:color w:val="auto"/>
                <w:sz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黑体" w:hAnsi="黑体" w:eastAsia="黑体"/>
                <w:color w:val="auto"/>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黑体" w:hAnsi="黑体" w:eastAsia="黑体"/>
                <w:color w:val="auto"/>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黑体" w:hAnsi="黑体" w:eastAsia="黑体"/>
                <w:color w:val="auto"/>
                <w:sz w:val="24"/>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ascii="黑体" w:hAnsi="黑体" w:eastAsia="黑体"/>
                <w:color w:val="auto"/>
                <w:sz w:val="24"/>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105" w:leftChars="-50" w:right="-126" w:rightChars="-60"/>
              <w:jc w:val="center"/>
              <w:textAlignment w:val="auto"/>
              <w:rPr>
                <w:rFonts w:ascii="黑体" w:hAnsi="黑体" w:eastAsia="黑体"/>
                <w:color w:val="auto"/>
              </w:rPr>
            </w:pPr>
            <w:r>
              <w:rPr>
                <w:rFonts w:ascii="黑体" w:hAnsi="黑体" w:eastAsia="黑体"/>
                <w:color w:val="auto"/>
                <w:kern w:val="0"/>
                <w:sz w:val="20"/>
                <w:szCs w:val="20"/>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86" w:leftChars="-41" w:right="-88" w:rightChars="-42"/>
              <w:jc w:val="center"/>
              <w:textAlignment w:val="auto"/>
              <w:rPr>
                <w:rFonts w:ascii="黑体" w:hAnsi="黑体" w:eastAsia="黑体"/>
                <w:color w:val="auto"/>
              </w:rPr>
            </w:pPr>
            <w:r>
              <w:rPr>
                <w:rFonts w:ascii="黑体" w:hAnsi="黑体" w:eastAsia="黑体"/>
                <w:color w:val="auto"/>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126" w:leftChars="-60" w:right="-136" w:rightChars="-65"/>
              <w:jc w:val="center"/>
              <w:textAlignment w:val="auto"/>
              <w:rPr>
                <w:rFonts w:ascii="黑体" w:hAnsi="黑体" w:eastAsia="黑体"/>
                <w:color w:val="auto"/>
                <w:kern w:val="0"/>
                <w:sz w:val="20"/>
                <w:szCs w:val="20"/>
              </w:rPr>
            </w:pPr>
            <w:r>
              <w:rPr>
                <w:rFonts w:ascii="黑体" w:hAnsi="黑体" w:eastAsia="黑体"/>
                <w:color w:val="auto"/>
                <w:kern w:val="0"/>
                <w:sz w:val="20"/>
                <w:szCs w:val="20"/>
              </w:rPr>
              <w:t>其他</w:t>
            </w:r>
          </w:p>
          <w:p>
            <w:pPr>
              <w:keepNext w:val="0"/>
              <w:keepLines w:val="0"/>
              <w:pageBreakBefore w:val="0"/>
              <w:widowControl/>
              <w:kinsoku/>
              <w:wordWrap/>
              <w:overflowPunct/>
              <w:topLinePunct w:val="0"/>
              <w:autoSpaceDE/>
              <w:autoSpaceDN/>
              <w:bidi w:val="0"/>
              <w:adjustRightInd/>
              <w:snapToGrid/>
              <w:spacing w:line="560" w:lineRule="exact"/>
              <w:ind w:left="-126" w:leftChars="-60" w:right="-136" w:rightChars="-65"/>
              <w:jc w:val="center"/>
              <w:textAlignment w:val="auto"/>
              <w:rPr>
                <w:rFonts w:ascii="黑体" w:hAnsi="黑体" w:eastAsia="黑体"/>
                <w:color w:val="auto"/>
              </w:rPr>
            </w:pPr>
            <w:r>
              <w:rPr>
                <w:rFonts w:ascii="黑体" w:hAnsi="黑体" w:eastAsia="黑体"/>
                <w:color w:val="auto"/>
                <w:kern w:val="0"/>
                <w:sz w:val="20"/>
                <w:szCs w:val="20"/>
              </w:rPr>
              <w:t>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164" w:leftChars="-78" w:right="-153" w:rightChars="-73"/>
              <w:jc w:val="center"/>
              <w:textAlignment w:val="auto"/>
              <w:rPr>
                <w:rFonts w:ascii="黑体" w:hAnsi="黑体" w:eastAsia="黑体"/>
                <w:color w:val="auto"/>
                <w:kern w:val="0"/>
                <w:sz w:val="20"/>
                <w:szCs w:val="20"/>
              </w:rPr>
            </w:pPr>
            <w:r>
              <w:rPr>
                <w:rFonts w:ascii="黑体" w:hAnsi="黑体" w:eastAsia="黑体"/>
                <w:color w:val="auto"/>
                <w:kern w:val="0"/>
                <w:sz w:val="20"/>
                <w:szCs w:val="20"/>
              </w:rPr>
              <w:t>尚未</w:t>
            </w:r>
          </w:p>
          <w:p>
            <w:pPr>
              <w:keepNext w:val="0"/>
              <w:keepLines w:val="0"/>
              <w:pageBreakBefore w:val="0"/>
              <w:widowControl/>
              <w:kinsoku/>
              <w:wordWrap/>
              <w:overflowPunct/>
              <w:topLinePunct w:val="0"/>
              <w:autoSpaceDE/>
              <w:autoSpaceDN/>
              <w:bidi w:val="0"/>
              <w:adjustRightInd/>
              <w:snapToGrid/>
              <w:spacing w:line="560" w:lineRule="exact"/>
              <w:ind w:left="-164" w:leftChars="-78" w:right="-153" w:rightChars="-73"/>
              <w:jc w:val="center"/>
              <w:textAlignment w:val="auto"/>
              <w:rPr>
                <w:rFonts w:ascii="黑体" w:hAnsi="黑体" w:eastAsia="黑体"/>
                <w:color w:val="auto"/>
              </w:rPr>
            </w:pPr>
            <w:r>
              <w:rPr>
                <w:rFonts w:ascii="黑体" w:hAnsi="黑体" w:eastAsia="黑体"/>
                <w:color w:val="auto"/>
                <w:kern w:val="0"/>
                <w:sz w:val="20"/>
                <w:szCs w:val="20"/>
              </w:rPr>
              <w:t>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黑体" w:hAnsi="黑体" w:eastAsia="黑体"/>
                <w:color w:val="auto"/>
              </w:rPr>
            </w:pPr>
            <w:r>
              <w:rPr>
                <w:rFonts w:ascii="黑体" w:hAnsi="黑体" w:eastAsia="黑体"/>
                <w:color w:val="auto"/>
                <w:kern w:val="0"/>
                <w:sz w:val="20"/>
                <w:szCs w:val="20"/>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99" w:leftChars="-47" w:right="-78" w:rightChars="-37"/>
              <w:jc w:val="center"/>
              <w:textAlignment w:val="auto"/>
              <w:rPr>
                <w:rFonts w:ascii="黑体" w:hAnsi="黑体" w:eastAsia="黑体"/>
                <w:color w:val="auto"/>
              </w:rPr>
            </w:pPr>
            <w:r>
              <w:rPr>
                <w:rFonts w:ascii="黑体" w:hAnsi="黑体" w:eastAsia="黑体"/>
                <w:color w:val="auto"/>
                <w:kern w:val="0"/>
                <w:sz w:val="20"/>
                <w:szCs w:val="20"/>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136" w:leftChars="-65" w:right="-124" w:rightChars="-59"/>
              <w:jc w:val="center"/>
              <w:textAlignment w:val="auto"/>
              <w:rPr>
                <w:rFonts w:ascii="黑体" w:hAnsi="黑体" w:eastAsia="黑体"/>
                <w:color w:val="auto"/>
                <w:kern w:val="0"/>
                <w:sz w:val="20"/>
                <w:szCs w:val="20"/>
              </w:rPr>
            </w:pPr>
            <w:r>
              <w:rPr>
                <w:rFonts w:ascii="黑体" w:hAnsi="黑体" w:eastAsia="黑体"/>
                <w:color w:val="auto"/>
                <w:kern w:val="0"/>
                <w:sz w:val="20"/>
                <w:szCs w:val="20"/>
              </w:rPr>
              <w:t>结果</w:t>
            </w:r>
          </w:p>
          <w:p>
            <w:pPr>
              <w:keepNext w:val="0"/>
              <w:keepLines w:val="0"/>
              <w:pageBreakBefore w:val="0"/>
              <w:widowControl/>
              <w:kinsoku/>
              <w:wordWrap/>
              <w:overflowPunct/>
              <w:topLinePunct w:val="0"/>
              <w:autoSpaceDE/>
              <w:autoSpaceDN/>
              <w:bidi w:val="0"/>
              <w:adjustRightInd/>
              <w:snapToGrid/>
              <w:spacing w:line="560" w:lineRule="exact"/>
              <w:ind w:left="-136" w:leftChars="-65" w:right="-124" w:rightChars="-59"/>
              <w:jc w:val="center"/>
              <w:textAlignment w:val="auto"/>
              <w:rPr>
                <w:rFonts w:ascii="黑体" w:hAnsi="黑体" w:eastAsia="黑体"/>
                <w:color w:val="auto"/>
              </w:rPr>
            </w:pPr>
            <w:r>
              <w:rPr>
                <w:rFonts w:ascii="黑体" w:hAnsi="黑体" w:eastAsia="黑体"/>
                <w:color w:val="auto"/>
                <w:kern w:val="0"/>
                <w:sz w:val="20"/>
                <w:szCs w:val="20"/>
              </w:rPr>
              <w:t>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173" w:leftChars="-83" w:right="-134" w:rightChars="-64" w:hanging="1"/>
              <w:jc w:val="center"/>
              <w:textAlignment w:val="auto"/>
              <w:rPr>
                <w:rFonts w:ascii="黑体" w:hAnsi="黑体" w:eastAsia="黑体"/>
                <w:color w:val="auto"/>
                <w:kern w:val="0"/>
                <w:sz w:val="20"/>
                <w:szCs w:val="20"/>
              </w:rPr>
            </w:pPr>
            <w:r>
              <w:rPr>
                <w:rFonts w:ascii="黑体" w:hAnsi="黑体" w:eastAsia="黑体"/>
                <w:color w:val="auto"/>
                <w:kern w:val="0"/>
                <w:sz w:val="20"/>
                <w:szCs w:val="20"/>
              </w:rPr>
              <w:t>其他</w:t>
            </w:r>
          </w:p>
          <w:p>
            <w:pPr>
              <w:keepNext w:val="0"/>
              <w:keepLines w:val="0"/>
              <w:pageBreakBefore w:val="0"/>
              <w:widowControl/>
              <w:kinsoku/>
              <w:wordWrap/>
              <w:overflowPunct/>
              <w:topLinePunct w:val="0"/>
              <w:autoSpaceDE/>
              <w:autoSpaceDN/>
              <w:bidi w:val="0"/>
              <w:adjustRightInd/>
              <w:snapToGrid/>
              <w:spacing w:line="560" w:lineRule="exact"/>
              <w:ind w:left="-173" w:leftChars="-83" w:right="-134" w:rightChars="-64" w:hanging="1"/>
              <w:jc w:val="center"/>
              <w:textAlignment w:val="auto"/>
              <w:rPr>
                <w:rFonts w:ascii="黑体" w:hAnsi="黑体" w:eastAsia="黑体"/>
                <w:color w:val="auto"/>
              </w:rPr>
            </w:pPr>
            <w:r>
              <w:rPr>
                <w:rFonts w:ascii="黑体" w:hAnsi="黑体" w:eastAsia="黑体"/>
                <w:color w:val="auto"/>
                <w:kern w:val="0"/>
                <w:sz w:val="20"/>
                <w:szCs w:val="20"/>
              </w:rPr>
              <w:t>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left="-67" w:leftChars="-33" w:right="-105" w:rightChars="-50" w:hanging="2" w:hangingChars="1"/>
              <w:jc w:val="center"/>
              <w:textAlignment w:val="auto"/>
              <w:rPr>
                <w:rFonts w:ascii="黑体" w:hAnsi="黑体" w:eastAsia="黑体"/>
                <w:color w:val="auto"/>
              </w:rPr>
            </w:pPr>
            <w:r>
              <w:rPr>
                <w:rFonts w:ascii="黑体" w:hAnsi="黑体" w:eastAsia="黑体"/>
                <w:color w:val="auto"/>
                <w:kern w:val="0"/>
                <w:sz w:val="20"/>
                <w:szCs w:val="20"/>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黑体" w:hAnsi="黑体" w:eastAsia="黑体"/>
                <w:color w:val="auto"/>
              </w:rPr>
            </w:pPr>
            <w:r>
              <w:rPr>
                <w:rFonts w:ascii="黑体" w:hAnsi="黑体" w:eastAsia="黑体"/>
                <w:color w:val="auto"/>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Times New Roman" w:hAnsi="Times New Roman" w:eastAsiaTheme="minorEastAsia"/>
                <w:color w:val="auto"/>
                <w:lang w:val="en-US" w:eastAsia="zh-CN"/>
              </w:rPr>
            </w:pPr>
            <w:r>
              <w:rPr>
                <w:rFonts w:hint="eastAsia" w:ascii="Times New Roman" w:hAnsi="Times New Roman"/>
                <w:color w:val="auto"/>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Times New Roman" w:hAnsi="Times New Roman" w:eastAsiaTheme="minorEastAsia"/>
                <w:color w:val="auto"/>
                <w:lang w:val="en-US" w:eastAsia="zh-CN"/>
              </w:rPr>
            </w:pPr>
            <w:r>
              <w:rPr>
                <w:rFonts w:hint="eastAsia" w:ascii="Times New Roman" w:hAnsi="Times New Roman"/>
                <w:color w:val="auto"/>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Times New Roman" w:hAnsi="Times New Roman" w:eastAsiaTheme="minorEastAsia"/>
                <w:color w:val="auto"/>
                <w:lang w:val="en-US" w:eastAsia="zh-CN"/>
              </w:rPr>
            </w:pPr>
            <w:r>
              <w:rPr>
                <w:rFonts w:hint="eastAsia" w:ascii="Times New Roman" w:hAnsi="Times New Roman"/>
                <w:color w:val="auto"/>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Times New Roman" w:hAnsi="Times New Roman" w:eastAsiaTheme="minorEastAsia"/>
                <w:color w:val="auto"/>
                <w:lang w:val="en-US" w:eastAsia="zh-CN"/>
              </w:rPr>
            </w:pPr>
            <w:r>
              <w:rPr>
                <w:rFonts w:hint="eastAsia" w:ascii="Times New Roman" w:hAnsi="Times New Roman"/>
                <w:color w:val="auto"/>
                <w:lang w:val="en-US" w:eastAsia="zh-CN"/>
              </w:rPr>
              <w:t>0</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Times New Roman" w:hAnsi="Times New Roman" w:eastAsiaTheme="minorEastAsia"/>
                <w:color w:val="auto"/>
                <w:lang w:val="en-US" w:eastAsia="zh-CN"/>
              </w:rPr>
            </w:pPr>
            <w:r>
              <w:rPr>
                <w:rFonts w:hint="eastAsia" w:ascii="Times New Roman" w:hAnsi="Times New Roman"/>
                <w:color w:val="auto"/>
                <w:lang w:val="en-US" w:eastAsia="zh-CN"/>
              </w:rPr>
              <w:t>0</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Times New Roman" w:hAnsi="Times New Roman" w:eastAsiaTheme="minorEastAsia"/>
                <w:color w:val="auto"/>
                <w:lang w:val="en-US" w:eastAsia="zh-CN"/>
              </w:rPr>
            </w:pPr>
            <w:r>
              <w:rPr>
                <w:rFonts w:hint="eastAsia" w:ascii="Times New Roman" w:hAnsi="Times New Roman"/>
                <w:color w:val="auto"/>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Times New Roman" w:hAnsi="Times New Roman" w:eastAsiaTheme="minorEastAsia"/>
                <w:color w:val="auto"/>
                <w:lang w:val="en-US" w:eastAsia="zh-CN"/>
              </w:rPr>
            </w:pPr>
            <w:r>
              <w:rPr>
                <w:rFonts w:hint="eastAsia" w:ascii="Times New Roman" w:hAnsi="Times New Roman"/>
                <w:color w:val="auto"/>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Times New Roman" w:hAnsi="Times New Roman" w:eastAsiaTheme="minorEastAsia"/>
                <w:color w:val="auto"/>
                <w:lang w:val="en-US" w:eastAsia="zh-CN"/>
              </w:rPr>
            </w:pPr>
            <w:r>
              <w:rPr>
                <w:rFonts w:hint="eastAsia" w:ascii="Times New Roman" w:hAnsi="Times New Roman"/>
                <w:color w:val="auto"/>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Times New Roman" w:hAnsi="Times New Roman" w:eastAsiaTheme="minorEastAsia"/>
                <w:color w:val="auto"/>
                <w:lang w:val="en-US" w:eastAsia="zh-CN"/>
              </w:rPr>
            </w:pPr>
            <w:r>
              <w:rPr>
                <w:rFonts w:hint="eastAsia" w:ascii="Times New Roman" w:hAnsi="Times New Roman"/>
                <w:color w:val="auto"/>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Times New Roman" w:hAnsi="Times New Roman" w:eastAsiaTheme="minorEastAsia"/>
                <w:color w:val="auto"/>
                <w:lang w:val="en-US" w:eastAsia="zh-CN"/>
              </w:rPr>
            </w:pPr>
            <w:r>
              <w:rPr>
                <w:rFonts w:hint="eastAsia" w:ascii="Times New Roman" w:hAnsi="Times New Roman"/>
                <w:color w:val="auto"/>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textAlignment w:val="auto"/>
              <w:rPr>
                <w:rFonts w:hint="eastAsia" w:ascii="Times New Roman" w:hAnsi="Times New Roman" w:eastAsiaTheme="minorEastAsia"/>
                <w:color w:val="auto"/>
                <w:lang w:val="en-US" w:eastAsia="zh-CN"/>
              </w:rPr>
            </w:pPr>
            <w:r>
              <w:rPr>
                <w:rFonts w:hint="eastAsia" w:ascii="Times New Roman" w:hAnsi="Times New Roman"/>
                <w:color w:val="auto"/>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Times New Roman" w:hAnsi="Times New Roman" w:eastAsiaTheme="minorEastAsia"/>
                <w:color w:val="auto"/>
                <w:lang w:val="en-US" w:eastAsia="zh-CN"/>
              </w:rPr>
            </w:pPr>
            <w:r>
              <w:rPr>
                <w:rFonts w:hint="eastAsia" w:ascii="Times New Roman" w:hAnsi="Times New Roman"/>
                <w:color w:val="auto"/>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Times New Roman" w:hAnsi="Times New Roman" w:eastAsiaTheme="minorEastAsia"/>
                <w:color w:val="auto"/>
                <w:lang w:val="en-US" w:eastAsia="zh-CN"/>
              </w:rPr>
            </w:pPr>
            <w:r>
              <w:rPr>
                <w:rFonts w:hint="eastAsia" w:ascii="Times New Roman" w:hAnsi="Times New Roman"/>
                <w:color w:val="auto"/>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Times New Roman" w:hAnsi="Times New Roman" w:eastAsiaTheme="minorEastAsia"/>
                <w:color w:val="auto"/>
                <w:lang w:val="en-US" w:eastAsia="zh-CN"/>
              </w:rPr>
            </w:pPr>
            <w:r>
              <w:rPr>
                <w:rFonts w:hint="eastAsia" w:ascii="Times New Roman" w:hAnsi="Times New Roman"/>
                <w:color w:val="auto"/>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180" w:line="560" w:lineRule="exact"/>
              <w:jc w:val="center"/>
              <w:textAlignment w:val="auto"/>
              <w:rPr>
                <w:rFonts w:hint="eastAsia" w:ascii="Times New Roman" w:hAnsi="Times New Roman" w:eastAsiaTheme="minorEastAsia"/>
                <w:color w:val="auto"/>
                <w:lang w:val="en-US" w:eastAsia="zh-CN"/>
              </w:rPr>
            </w:pPr>
            <w:r>
              <w:rPr>
                <w:rFonts w:hint="eastAsia" w:ascii="Times New Roman" w:hAnsi="Times New Roman"/>
                <w:color w:val="auto"/>
                <w:lang w:val="en-US" w:eastAsia="zh-CN"/>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黑体" w:hAnsi="黑体" w:eastAsia="黑体" w:cs="黑体"/>
          <w:b w:val="0"/>
          <w:bCs/>
          <w:i w:val="0"/>
          <w:caps w:val="0"/>
          <w:color w:val="auto"/>
          <w:spacing w:val="0"/>
          <w:kern w:val="0"/>
          <w:sz w:val="32"/>
          <w:szCs w:val="32"/>
          <w:shd w:val="clear" w:fill="FFFFFF"/>
          <w:lang w:val="en-US" w:eastAsia="zh-CN" w:bidi="ar"/>
        </w:rPr>
      </w:pPr>
      <w:r>
        <w:rPr>
          <w:rFonts w:hint="eastAsia" w:ascii="黑体" w:hAnsi="黑体" w:eastAsia="黑体" w:cs="黑体"/>
          <w:b w:val="0"/>
          <w:bCs/>
          <w:i w:val="0"/>
          <w:caps w:val="0"/>
          <w:color w:val="auto"/>
          <w:spacing w:val="0"/>
          <w:kern w:val="0"/>
          <w:sz w:val="32"/>
          <w:szCs w:val="32"/>
          <w:shd w:val="clear" w:fill="FFFFFF"/>
          <w:lang w:val="en-US" w:eastAsia="zh-CN" w:bidi="ar"/>
        </w:rPr>
        <w:t>五、存在的主要问题及改进情况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val="0"/>
          <w:bCs w:val="0"/>
          <w:color w:val="auto"/>
          <w:kern w:val="2"/>
          <w:sz w:val="32"/>
          <w:szCs w:val="32"/>
          <w:lang w:val="en-US" w:eastAsia="zh-CN" w:bidi="ar-SA"/>
        </w:rPr>
        <w:t>1、</w:t>
      </w:r>
      <w:r>
        <w:rPr>
          <w:rFonts w:hint="eastAsia" w:ascii="仿宋_GB2312" w:hAnsi="仿宋_GB2312" w:eastAsia="仿宋_GB2312" w:cs="仿宋_GB2312"/>
          <w:i w:val="0"/>
          <w:iCs w:val="0"/>
          <w:caps w:val="0"/>
          <w:color w:val="auto"/>
          <w:spacing w:val="0"/>
          <w:sz w:val="32"/>
          <w:szCs w:val="32"/>
          <w:shd w:val="clear" w:fill="FFFFFF"/>
        </w:rPr>
        <w:t>政务信息主动公开的深度和广度</w:t>
      </w:r>
      <w:r>
        <w:rPr>
          <w:rFonts w:hint="eastAsia" w:ascii="仿宋_GB2312" w:hAnsi="仿宋_GB2312" w:eastAsia="仿宋_GB2312" w:cs="仿宋_GB2312"/>
          <w:i w:val="0"/>
          <w:iCs w:val="0"/>
          <w:caps w:val="0"/>
          <w:color w:val="auto"/>
          <w:spacing w:val="0"/>
          <w:sz w:val="32"/>
          <w:szCs w:val="32"/>
          <w:shd w:val="clear" w:fill="FFFFFF"/>
          <w:lang w:val="en-US" w:eastAsia="zh-CN"/>
        </w:rPr>
        <w:t>有待</w:t>
      </w:r>
      <w:r>
        <w:rPr>
          <w:rFonts w:hint="eastAsia" w:ascii="仿宋_GB2312" w:hAnsi="仿宋_GB2312" w:eastAsia="仿宋_GB2312" w:cs="仿宋_GB2312"/>
          <w:i w:val="0"/>
          <w:iCs w:val="0"/>
          <w:caps w:val="0"/>
          <w:color w:val="auto"/>
          <w:spacing w:val="0"/>
          <w:sz w:val="32"/>
          <w:szCs w:val="32"/>
          <w:shd w:val="clear" w:fill="FFFFFF"/>
        </w:rPr>
        <w:t>进一步提升。</w:t>
      </w:r>
      <w:r>
        <w:rPr>
          <w:rFonts w:hint="eastAsia" w:ascii="仿宋_GB2312" w:hAnsi="仿宋_GB2312" w:eastAsia="仿宋_GB2312" w:cs="仿宋_GB2312"/>
          <w:i w:val="0"/>
          <w:iCs w:val="0"/>
          <w:caps w:val="0"/>
          <w:color w:val="auto"/>
          <w:spacing w:val="0"/>
          <w:sz w:val="32"/>
          <w:szCs w:val="32"/>
          <w:shd w:val="clear" w:fill="FFFFFF"/>
          <w:lang w:eastAsia="zh-CN"/>
        </w:rPr>
        <w:t>主动公开的数量有所提升，但是领域范围和质量不是很高，接下来</w:t>
      </w:r>
      <w:r>
        <w:rPr>
          <w:rFonts w:hint="eastAsia" w:ascii="仿宋_GB2312" w:hAnsi="仿宋_GB2312" w:eastAsia="仿宋_GB2312" w:cs="仿宋_GB2312"/>
          <w:i w:val="0"/>
          <w:iCs w:val="0"/>
          <w:caps w:val="0"/>
          <w:color w:val="auto"/>
          <w:spacing w:val="0"/>
          <w:sz w:val="32"/>
          <w:szCs w:val="32"/>
          <w:shd w:val="clear" w:fill="FFFFFF"/>
        </w:rPr>
        <w:t>要进一步加强信息主动公开力度，提升信息更新频率、拓展信息公开广度，</w:t>
      </w:r>
      <w:r>
        <w:rPr>
          <w:rFonts w:hint="eastAsia" w:ascii="仿宋_GB2312" w:hAnsi="仿宋_GB2312" w:eastAsia="仿宋_GB2312" w:cs="仿宋_GB2312"/>
          <w:i w:val="0"/>
          <w:iCs w:val="0"/>
          <w:caps w:val="0"/>
          <w:color w:val="auto"/>
          <w:spacing w:val="0"/>
          <w:sz w:val="32"/>
          <w:szCs w:val="32"/>
          <w:shd w:val="clear" w:fill="FFFFFF"/>
          <w:lang w:eastAsia="zh-CN"/>
        </w:rPr>
        <w:t>不断提高人民群众的</w:t>
      </w:r>
      <w:r>
        <w:rPr>
          <w:rFonts w:hint="eastAsia" w:ascii="仿宋_GB2312" w:hAnsi="仿宋_GB2312" w:eastAsia="仿宋_GB2312" w:cs="仿宋_GB2312"/>
          <w:i w:val="0"/>
          <w:iCs w:val="0"/>
          <w:caps w:val="0"/>
          <w:color w:val="auto"/>
          <w:spacing w:val="0"/>
          <w:sz w:val="32"/>
          <w:szCs w:val="32"/>
          <w:shd w:val="clear" w:fill="FFFFFF"/>
        </w:rPr>
        <w:t>知情权。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val="0"/>
          <w:bCs w:val="0"/>
          <w:color w:val="auto"/>
          <w:kern w:val="2"/>
          <w:sz w:val="32"/>
          <w:szCs w:val="32"/>
          <w:lang w:val="en-US" w:eastAsia="zh-CN" w:bidi="ar-SA"/>
        </w:rPr>
        <w:t>2、</w:t>
      </w:r>
      <w:r>
        <w:rPr>
          <w:rFonts w:hint="eastAsia" w:ascii="仿宋_GB2312" w:hAnsi="仿宋_GB2312" w:eastAsia="仿宋_GB2312" w:cs="仿宋_GB2312"/>
          <w:i w:val="0"/>
          <w:iCs w:val="0"/>
          <w:caps w:val="0"/>
          <w:color w:val="auto"/>
          <w:spacing w:val="0"/>
          <w:sz w:val="32"/>
          <w:szCs w:val="32"/>
          <w:shd w:val="clear" w:fill="FFFFFF"/>
        </w:rPr>
        <w:t>政策规范性文件解读</w:t>
      </w:r>
      <w:r>
        <w:rPr>
          <w:rFonts w:hint="eastAsia" w:ascii="仿宋_GB2312" w:hAnsi="仿宋_GB2312" w:eastAsia="仿宋_GB2312" w:cs="仿宋_GB2312"/>
          <w:i w:val="0"/>
          <w:iCs w:val="0"/>
          <w:caps w:val="0"/>
          <w:color w:val="auto"/>
          <w:spacing w:val="0"/>
          <w:sz w:val="32"/>
          <w:szCs w:val="32"/>
          <w:shd w:val="clear" w:fill="FFFFFF"/>
          <w:lang w:eastAsia="zh-CN"/>
        </w:rPr>
        <w:t>有待</w:t>
      </w:r>
      <w:r>
        <w:rPr>
          <w:rFonts w:hint="eastAsia" w:ascii="仿宋_GB2312" w:hAnsi="仿宋_GB2312" w:eastAsia="仿宋_GB2312" w:cs="仿宋_GB2312"/>
          <w:i w:val="0"/>
          <w:iCs w:val="0"/>
          <w:caps w:val="0"/>
          <w:color w:val="auto"/>
          <w:spacing w:val="0"/>
          <w:sz w:val="32"/>
          <w:szCs w:val="32"/>
          <w:shd w:val="clear" w:fill="FFFFFF"/>
        </w:rPr>
        <w:t>进一步拓展。</w:t>
      </w:r>
      <w:r>
        <w:rPr>
          <w:rFonts w:hint="eastAsia" w:ascii="仿宋_GB2312" w:hAnsi="仿宋_GB2312" w:eastAsia="仿宋_GB2312" w:cs="仿宋_GB2312"/>
          <w:i w:val="0"/>
          <w:iCs w:val="0"/>
          <w:caps w:val="0"/>
          <w:color w:val="auto"/>
          <w:spacing w:val="0"/>
          <w:sz w:val="32"/>
          <w:szCs w:val="32"/>
          <w:shd w:val="clear" w:fill="FFFFFF"/>
          <w:lang w:eastAsia="zh-CN"/>
        </w:rPr>
        <w:t>发布的文件较少，文件的解读形式比较单一，缺乏新颖性。接下来要进一步开展</w:t>
      </w:r>
      <w:r>
        <w:rPr>
          <w:rFonts w:hint="eastAsia" w:ascii="仿宋_GB2312" w:hAnsi="仿宋_GB2312" w:eastAsia="仿宋_GB2312" w:cs="仿宋_GB2312"/>
          <w:i w:val="0"/>
          <w:iCs w:val="0"/>
          <w:caps w:val="0"/>
          <w:color w:val="auto"/>
          <w:spacing w:val="0"/>
          <w:sz w:val="32"/>
          <w:szCs w:val="32"/>
          <w:shd w:val="clear" w:fill="FFFFFF"/>
        </w:rPr>
        <w:t>图片解读</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文字解读</w:t>
      </w:r>
      <w:r>
        <w:rPr>
          <w:rFonts w:hint="eastAsia" w:ascii="仿宋_GB2312" w:hAnsi="仿宋_GB2312" w:eastAsia="仿宋_GB2312" w:cs="仿宋_GB2312"/>
          <w:i w:val="0"/>
          <w:iCs w:val="0"/>
          <w:caps w:val="0"/>
          <w:color w:val="auto"/>
          <w:spacing w:val="0"/>
          <w:sz w:val="32"/>
          <w:szCs w:val="32"/>
          <w:shd w:val="clear" w:fill="FFFFFF"/>
          <w:lang w:eastAsia="zh-CN"/>
        </w:rPr>
        <w:t>和相关领域负责人现场解读等，真正让人民群众对文件有更深入、更直观的了解和认可</w:t>
      </w:r>
      <w:r>
        <w:rPr>
          <w:rFonts w:hint="eastAsia" w:ascii="仿宋_GB2312" w:hAnsi="仿宋_GB2312" w:eastAsia="仿宋_GB2312" w:cs="仿宋_GB2312"/>
          <w:i w:val="0"/>
          <w:iCs w:val="0"/>
          <w:caps w:val="0"/>
          <w:color w:val="auto"/>
          <w:spacing w:val="0"/>
          <w:sz w:val="32"/>
          <w:szCs w:val="3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val="0"/>
          <w:bCs w:val="0"/>
          <w:color w:val="auto"/>
          <w:kern w:val="2"/>
          <w:sz w:val="32"/>
          <w:szCs w:val="32"/>
          <w:lang w:val="en-US" w:eastAsia="zh-CN" w:bidi="ar-SA"/>
        </w:rPr>
        <w:t>3、</w:t>
      </w:r>
      <w:r>
        <w:rPr>
          <w:rFonts w:hint="eastAsia" w:ascii="仿宋_GB2312" w:hAnsi="仿宋_GB2312" w:eastAsia="仿宋_GB2312" w:cs="仿宋_GB2312"/>
          <w:i w:val="0"/>
          <w:iCs w:val="0"/>
          <w:caps w:val="0"/>
          <w:color w:val="auto"/>
          <w:spacing w:val="0"/>
          <w:sz w:val="32"/>
          <w:szCs w:val="32"/>
          <w:shd w:val="clear" w:fill="FFFFFF"/>
        </w:rPr>
        <w:t>政务公开平台建设</w:t>
      </w:r>
      <w:r>
        <w:rPr>
          <w:rFonts w:hint="eastAsia" w:ascii="仿宋_GB2312" w:hAnsi="仿宋_GB2312" w:eastAsia="仿宋_GB2312" w:cs="仿宋_GB2312"/>
          <w:i w:val="0"/>
          <w:iCs w:val="0"/>
          <w:caps w:val="0"/>
          <w:color w:val="auto"/>
          <w:spacing w:val="0"/>
          <w:sz w:val="32"/>
          <w:szCs w:val="32"/>
          <w:shd w:val="clear" w:fill="FFFFFF"/>
          <w:lang w:eastAsia="zh-CN"/>
        </w:rPr>
        <w:t>有待</w:t>
      </w:r>
      <w:r>
        <w:rPr>
          <w:rFonts w:hint="eastAsia" w:ascii="仿宋_GB2312" w:hAnsi="仿宋_GB2312" w:eastAsia="仿宋_GB2312" w:cs="仿宋_GB2312"/>
          <w:i w:val="0"/>
          <w:iCs w:val="0"/>
          <w:caps w:val="0"/>
          <w:color w:val="auto"/>
          <w:spacing w:val="0"/>
          <w:sz w:val="32"/>
          <w:szCs w:val="32"/>
          <w:shd w:val="clear" w:fill="FFFFFF"/>
        </w:rPr>
        <w:t>进一步完善。</w:t>
      </w:r>
      <w:r>
        <w:rPr>
          <w:rFonts w:hint="eastAsia" w:ascii="仿宋_GB2312" w:hAnsi="仿宋_GB2312" w:eastAsia="仿宋_GB2312" w:cs="仿宋_GB2312"/>
          <w:i w:val="0"/>
          <w:iCs w:val="0"/>
          <w:caps w:val="0"/>
          <w:color w:val="auto"/>
          <w:spacing w:val="0"/>
          <w:sz w:val="32"/>
          <w:szCs w:val="32"/>
          <w:shd w:val="clear" w:fill="FFFFFF"/>
          <w:lang w:eastAsia="zh-CN"/>
        </w:rPr>
        <w:t>栏目较固定</w:t>
      </w:r>
      <w:r>
        <w:rPr>
          <w:rFonts w:hint="eastAsia" w:ascii="仿宋_GB2312" w:hAnsi="仿宋_GB2312" w:eastAsia="仿宋_GB2312" w:cs="仿宋_GB2312"/>
          <w:i w:val="0"/>
          <w:iCs w:val="0"/>
          <w:caps w:val="0"/>
          <w:color w:val="auto"/>
          <w:spacing w:val="0"/>
          <w:sz w:val="32"/>
          <w:szCs w:val="32"/>
          <w:shd w:val="clear" w:fill="FFFFFF"/>
        </w:rPr>
        <w:t>，</w:t>
      </w:r>
      <w:r>
        <w:rPr>
          <w:rFonts w:hint="eastAsia" w:ascii="仿宋_GB2312" w:hAnsi="仿宋_GB2312" w:eastAsia="仿宋_GB2312" w:cs="仿宋_GB2312"/>
          <w:i w:val="0"/>
          <w:iCs w:val="0"/>
          <w:caps w:val="0"/>
          <w:color w:val="auto"/>
          <w:spacing w:val="0"/>
          <w:sz w:val="32"/>
          <w:szCs w:val="32"/>
          <w:shd w:val="clear" w:fill="FFFFFF"/>
          <w:lang w:eastAsia="zh-CN"/>
        </w:rPr>
        <w:t>与现代新媒体发展存在不小差距，人民群众关注度不高。接下来要进一步拓展</w:t>
      </w:r>
      <w:r>
        <w:rPr>
          <w:rFonts w:hint="eastAsia" w:ascii="仿宋_GB2312" w:hAnsi="仿宋_GB2312" w:eastAsia="仿宋_GB2312" w:cs="仿宋_GB2312"/>
          <w:i w:val="0"/>
          <w:iCs w:val="0"/>
          <w:caps w:val="0"/>
          <w:color w:val="auto"/>
          <w:spacing w:val="0"/>
          <w:sz w:val="32"/>
          <w:szCs w:val="32"/>
          <w:shd w:val="clear" w:fill="FFFFFF"/>
        </w:rPr>
        <w:t>公开渠道和形式，持续强化公众参与、新媒体宣传、信息反馈等方面工作。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黑体" w:hAnsi="黑体" w:eastAsia="黑体" w:cs="黑体"/>
          <w:b w:val="0"/>
          <w:bCs/>
          <w:i w:val="0"/>
          <w:caps w:val="0"/>
          <w:color w:val="auto"/>
          <w:spacing w:val="0"/>
          <w:kern w:val="0"/>
          <w:sz w:val="32"/>
          <w:szCs w:val="32"/>
          <w:shd w:val="clear" w:fill="FFFFFF"/>
          <w:lang w:val="en-US" w:eastAsia="zh-CN" w:bidi="ar"/>
        </w:rPr>
      </w:pPr>
      <w:r>
        <w:rPr>
          <w:rFonts w:hint="eastAsia" w:ascii="黑体" w:hAnsi="黑体" w:eastAsia="黑体" w:cs="黑体"/>
          <w:b w:val="0"/>
          <w:bCs/>
          <w:i w:val="0"/>
          <w:caps w:val="0"/>
          <w:color w:val="auto"/>
          <w:spacing w:val="0"/>
          <w:kern w:val="0"/>
          <w:sz w:val="32"/>
          <w:szCs w:val="32"/>
          <w:shd w:val="clear" w:fill="FFFFFF"/>
          <w:lang w:val="en-US" w:eastAsia="zh-CN" w:bidi="ar"/>
        </w:rPr>
        <w:t>六、其他需要报告的事项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1、本年度我局未出现依申请公开信息处理费收费情况。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2、本年度共办理政协提案4件，人大建议4件。均已按时回复，建议人对答复表示满意。</w:t>
      </w:r>
    </w:p>
    <w:p>
      <w:pPr>
        <w:keepNext w:val="0"/>
        <w:keepLines w:val="0"/>
        <w:pageBreakBefore w:val="0"/>
        <w:kinsoku/>
        <w:wordWrap/>
        <w:overflowPunct/>
        <w:topLinePunct w:val="0"/>
        <w:autoSpaceDE/>
        <w:autoSpaceDN/>
        <w:bidi w:val="0"/>
        <w:adjustRightInd/>
        <w:snapToGrid/>
        <w:spacing w:line="560" w:lineRule="exact"/>
        <w:ind w:firstLine="5760" w:firstLineChars="1800"/>
        <w:textAlignment w:val="auto"/>
        <w:rPr>
          <w:rFonts w:hint="default" w:ascii="仿宋_GB2312" w:hAnsi="仿宋_GB2312" w:eastAsia="仿宋_GB2312" w:cs="仿宋_GB2312"/>
          <w:i w:val="0"/>
          <w:iCs w:val="0"/>
          <w:caps w:val="0"/>
          <w:color w:val="auto"/>
          <w:spacing w:val="0"/>
          <w:kern w:val="0"/>
          <w:sz w:val="32"/>
          <w:szCs w:val="32"/>
          <w:shd w:val="clear" w:fill="FFFFFF"/>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楷体_GB2312">
    <w:altName w:val="楷体"/>
    <w:panose1 w:val="02010609030101010101"/>
    <w:charset w:val="86"/>
    <w:family w:val="decorative"/>
    <w:pitch w:val="default"/>
    <w:sig w:usb0="00000000" w:usb1="00000000" w:usb2="00000000" w:usb3="00000000" w:csb0="00040000" w:csb1="00000000"/>
  </w:font>
  <w:font w:name="楷体">
    <w:panose1 w:val="02010609060101010101"/>
    <w:charset w:val="86"/>
    <w:family w:val="decorative"/>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xMDcyZjhlYjE5ZmNiNjM5MjNkNjFhMDFkY2NjNjkifQ=="/>
  </w:docVars>
  <w:rsids>
    <w:rsidRoot w:val="11AF18C8"/>
    <w:rsid w:val="11AF18C8"/>
    <w:rsid w:val="13CF716E"/>
    <w:rsid w:val="1A6A77C7"/>
    <w:rsid w:val="21E93EDD"/>
    <w:rsid w:val="2757506F"/>
    <w:rsid w:val="33274212"/>
    <w:rsid w:val="366B3955"/>
    <w:rsid w:val="3A433C74"/>
    <w:rsid w:val="49F57A97"/>
    <w:rsid w:val="4B8D4C17"/>
    <w:rsid w:val="77181135"/>
    <w:rsid w:val="7F927C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2226</Words>
  <Characters>2306</Characters>
  <Lines>0</Lines>
  <Paragraphs>0</Paragraphs>
  <TotalTime>62</TotalTime>
  <ScaleCrop>false</ScaleCrop>
  <LinksUpToDate>false</LinksUpToDate>
  <CharactersWithSpaces>2306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2023-01-16T07:45:00Z</dcterms:created>
  <dc:creator>诗人与熊</dc:creator>
  <cp:lastModifiedBy>龙吟</cp:lastModifiedBy>
  <cp:lastPrinted>2023-02-06T08:47:00Z</cp:lastPrinted>
  <dcterms:modified xsi:type="dcterms:W3CDTF">2023-02-08T07:12:36Z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70323F9CCD4F4962BB312B90896ABD78</vt:lpwstr>
  </property>
</Properties>
</file>