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临清市审计局2022年政府信息公开工作年度报告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，市审计局以习近平新时代中国特色社会主义思想为指导，深入学习贯彻党的二十大精神，坚持“依法审计、服务大局、围绕中心、突出重点、求真务实”审计工作方针，依法全面履行审计监督职责，规范政府信息公开工作，加大政府信息公开力度，不断提升审计工作质量。根据《中华人民共和国政府信息公开条例》等文件要求，在市政府信息公开工作领导小组的指导下，编制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临清市审计局政府信息公开工作年度报告。本报告由六部分组成，分别为：总体情况；主动公开政府信息情况；收到和处理政府信息公开申请情况；政府信息公开行政复议、行政诉讼情况；政府信息公开工作存在的主要问题及改进情况；其他需要报告的事项等六个部分，本报告中所列数据的统计期限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日起至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主动公开方面。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审计局对照《政府信息公开条例》第二十条和第二十一条规定的法定主动公开内容，对机构职能信息、履职依据信息、政府动态信息等内容进行了更新公开发布，包含审计动态、党建活动、工作计划和落实情况等信息，2022全年共发布公示信息68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依申请公开工作方面。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2022年，市审计局未收到申请公开政府信息的请求，没有依申请公开政府信息相应内容。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政府信息管理方面。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来，市审计局认真贯彻落实《中华人民共和国政府信息公开条例》与本局动态政府信息公开机制，及时公开包括机构职能、政策解读、信息公开指南等有关信息，严格信息发布审核、保密审查等，强化信息管理，不断健全完善政务信息公开工作制度，确保信息发布权威、权威、安全，全年无违规发布信息情况发生。在开展的“为民办实事”等活动中，进一步丰富政府信息公开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平台建设方面。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审计局严格落实网络意识形态责任制，加强微信公众号等内容建设和信息发布审核，把好政治关，认真履行政务公开责任制，做到了平台安全运行、信息公开内容全面准确，保障了群众的知晓权、参与权、监督权。2022年来，市审计局在《中国审计》、《中国审计报》发表6篇，省厅网站发表2篇，聊城市局网站及公众号发表30篇。微信公众号“临清审计”关注人数311人，发布287篇文章，其中审计动态13篇，及时展现工作动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监督保障方面。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市审计局按照相关要求，调整了本局政府信息公开工作人员配置，完善政府信息公开机制，工作具体负责到个人。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bookmarkStart w:id="10" w:name="_GoBack"/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本年收费金额（单位：万元）</w:t>
            </w:r>
          </w:p>
          <w:bookmarkEnd w:id="1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color w:val="auto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color w:val="auto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楷体_GB2312" w:hAnsi="黑体" w:eastAsia="楷体_GB2312"/>
                <w:color w:val="auto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color w:val="auto"/>
                <w:szCs w:val="21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  <w:color w:val="auto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  <w:color w:val="auto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</w:rPr>
            </w:pPr>
            <w:bookmarkStart w:id="9" w:name="_Hlk67039688"/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color w:val="auto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</w:rPr>
            </w:pPr>
            <w:r>
              <w:rPr>
                <w:rFonts w:ascii="黑体" w:hAnsi="黑体" w:eastAsia="黑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2022年，我局政府信息公开工作存在以下不足：一是政务信息公开数量较少，信息公开不够及时；二是信息公开渠道较少，主要依赖微信公众号进行平台宣传，宣传能力有限。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我局将从以下三个方面加以改进：一要提高思想认识，将信息公开作为长期坚持的工作，作为服务社会的重要途径。二是全面梳理我局政府信息公开涉及内容，继续完善政府信息公开目录，推进与社会发展、群众生活密切相关的信息公开，加强对专业性强、公众关注度高的规范性文件、重大决定等信息的配套解读工作。三要加强信息公开部门与各业务科室联系，推进信息公开工作常态化、规范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2022年，按照《国务院办公厅关于印发〈政府信息公开信息处理费管理办法〉的通知》（国办函〔2020〕109号）规定的按件、按量收费标准，没有产生信息公开处理费，共收到人大建议0件，政协提案0件。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WZiOWU0MTVhNmY4NDYxZjdiMjlhZjhkMmEzNjUifQ=="/>
  </w:docVars>
  <w:rsids>
    <w:rsidRoot w:val="11AF18C8"/>
    <w:rsid w:val="11AF18C8"/>
    <w:rsid w:val="1A6A77C7"/>
    <w:rsid w:val="1FAA5010"/>
    <w:rsid w:val="633C0416"/>
    <w:rsid w:val="77181135"/>
    <w:rsid w:val="7BBE539E"/>
    <w:rsid w:val="B3994B21"/>
    <w:rsid w:val="ED6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2208</Words>
  <Characters>2282</Characters>
  <Lines>0</Lines>
  <Paragraphs>0</Paragraphs>
  <TotalTime>113</TotalTime>
  <ScaleCrop>false</ScaleCrop>
  <LinksUpToDate>false</LinksUpToDate>
  <CharactersWithSpaces>2282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2023-01-16T23:45:00Z</dcterms:created>
  <dc:creator>诗人与熊</dc:creator>
  <cp:lastModifiedBy>啦啦啦啦</cp:lastModifiedBy>
  <cp:lastPrinted>2023-01-17T01:08:00Z</cp:lastPrinted>
  <dcterms:modified xsi:type="dcterms:W3CDTF">2023-02-06T07:22:15Z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EC4CDACD781642BD86506234872B27FB</vt:lpwstr>
  </property>
</Properties>
</file>