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烟店镇人民政府办公室</w:t>
      </w:r>
    </w:p>
    <w:p>
      <w:pPr>
        <w:keepNext w:val="0"/>
        <w:keepLines w:val="0"/>
        <w:pageBreakBefore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2</w:t>
      </w:r>
      <w:r>
        <w:rPr>
          <w:rFonts w:hint="eastAsia" w:ascii="方正小标宋简体" w:hAnsi="方正小标宋简体" w:eastAsia="方正小标宋简体" w:cs="方正小标宋简体"/>
          <w:sz w:val="44"/>
          <w:szCs w:val="44"/>
          <w:lang w:val="en-US" w:eastAsia="zh-CN"/>
        </w:rPr>
        <w:t>年</w:t>
      </w: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根据《中华人民共和国政府信息公开条例》、《山东省信息公开办法》、《聊城市政府公开办法》的有关规定，以及《临清市人民政府办公室关于报送</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年政府信息公开工作年度报告的通知》的要求，结合本单位工作实际，</w:t>
      </w:r>
      <w:r>
        <w:rPr>
          <w:rFonts w:hint="eastAsia" w:ascii="仿宋_GB2312" w:hAnsi="仿宋_GB2312" w:eastAsia="仿宋_GB2312" w:cs="仿宋_GB2312"/>
          <w:sz w:val="32"/>
          <w:szCs w:val="32"/>
          <w:lang w:val="en-US" w:eastAsia="zh-CN"/>
        </w:rPr>
        <w:t>特向社会</w:t>
      </w:r>
      <w:r>
        <w:rPr>
          <w:rFonts w:hint="eastAsia" w:ascii="仿宋_GB2312" w:hAnsi="仿宋_GB2312" w:eastAsia="仿宋_GB2312" w:cs="仿宋_GB2312"/>
          <w:sz w:val="32"/>
          <w:szCs w:val="32"/>
        </w:rPr>
        <w:t>公布烟店镇</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年度政府信息公开年度报告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接受社会公开监督</w:t>
      </w:r>
      <w:r>
        <w:rPr>
          <w:rFonts w:hint="eastAsia" w:ascii="仿宋_GB2312" w:hAnsi="仿宋_GB2312" w:eastAsia="仿宋_GB2312" w:cs="仿宋_GB2312"/>
          <w:color w:val="auto"/>
          <w:sz w:val="32"/>
          <w:szCs w:val="32"/>
          <w:lang w:val="en-US" w:eastAsia="zh-CN"/>
        </w:rPr>
        <w:t>。报告全文包括总体情况；行政机关主动公开政府信息的情况；行政机关收到和处理政府信息公开申请的情况；因政府信息公开工作被申请行政复议、提起行政诉讼的情况；政府信息公开工作存在的主要问题及改进情况、其他需要报告的事项等</w:t>
      </w:r>
      <w:r>
        <w:rPr>
          <w:rFonts w:hint="default" w:ascii="Times New Roman" w:hAnsi="Times New Roman" w:eastAsia="仿宋_GB2312" w:cs="Times New Roman"/>
          <w:color w:val="auto"/>
          <w:sz w:val="32"/>
          <w:szCs w:val="32"/>
          <w:lang w:val="en-US" w:eastAsia="zh-CN"/>
        </w:rPr>
        <w:t>6</w:t>
      </w:r>
      <w:r>
        <w:rPr>
          <w:rFonts w:hint="eastAsia" w:ascii="仿宋_GB2312" w:hAnsi="仿宋_GB2312" w:eastAsia="仿宋_GB2312" w:cs="仿宋_GB2312"/>
          <w:color w:val="auto"/>
          <w:sz w:val="32"/>
          <w:szCs w:val="32"/>
          <w:lang w:val="en-US" w:eastAsia="zh-CN"/>
        </w:rPr>
        <w:t>个方面。报告统计期限自</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年</w:t>
      </w: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月</w:t>
      </w: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日起至</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年</w:t>
      </w:r>
      <w:r>
        <w:rPr>
          <w:rFonts w:hint="default" w:ascii="Times New Roman" w:hAnsi="Times New Roman" w:eastAsia="仿宋_GB2312" w:cs="Times New Roman"/>
          <w:color w:val="auto"/>
          <w:sz w:val="32"/>
          <w:szCs w:val="32"/>
          <w:lang w:val="en-US" w:eastAsia="zh-CN"/>
        </w:rPr>
        <w:t>12</w:t>
      </w:r>
      <w:r>
        <w:rPr>
          <w:rFonts w:hint="eastAsia" w:ascii="仿宋_GB2312" w:hAnsi="仿宋_GB2312" w:eastAsia="仿宋_GB2312" w:cs="仿宋_GB2312"/>
          <w:color w:val="auto"/>
          <w:sz w:val="32"/>
          <w:szCs w:val="32"/>
          <w:lang w:val="en-US" w:eastAsia="zh-CN"/>
        </w:rPr>
        <w:t>月</w:t>
      </w:r>
      <w:r>
        <w:rPr>
          <w:rFonts w:hint="default" w:ascii="Times New Roman" w:hAnsi="Times New Roman" w:eastAsia="仿宋_GB2312" w:cs="Times New Roman"/>
          <w:color w:val="auto"/>
          <w:sz w:val="32"/>
          <w:szCs w:val="32"/>
          <w:lang w:val="en-US" w:eastAsia="zh-CN"/>
        </w:rPr>
        <w:t>31</w:t>
      </w:r>
      <w:r>
        <w:rPr>
          <w:rFonts w:hint="eastAsia" w:ascii="仿宋_GB2312" w:hAnsi="仿宋_GB2312" w:eastAsia="仿宋_GB2312" w:cs="仿宋_GB2312"/>
          <w:color w:val="auto"/>
          <w:sz w:val="32"/>
          <w:szCs w:val="32"/>
          <w:lang w:val="en-US" w:eastAsia="zh-CN"/>
        </w:rPr>
        <w:t>日止。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主动公开。</w:t>
      </w:r>
      <w:r>
        <w:rPr>
          <w:rFonts w:hint="eastAsia" w:ascii="仿宋_GB2312" w:hAnsi="仿宋_GB2312" w:eastAsia="仿宋_GB2312" w:cs="仿宋_GB2312"/>
          <w:sz w:val="32"/>
          <w:szCs w:val="32"/>
          <w:lang w:val="en-US" w:eastAsia="zh-CN"/>
        </w:rPr>
        <w:t>烟店镇人民政府严格执行《中华人民共和国政府信息公开条例》，结合实际印发《</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年烟店镇信息公开指南》，进一步深化政府信息公开工作机制，把加强政府信息公开工作作为推进服务政府、责任政府、法治政府建设，加强机关作风建设的一项重要举措、逐步实现政府信息公开制度化、规范化。</w:t>
      </w:r>
      <w:r>
        <w:rPr>
          <w:rFonts w:hint="eastAsia" w:ascii="仿宋_GB2312" w:hAnsi="仿宋_GB2312" w:eastAsia="仿宋_GB2312" w:cs="仿宋_GB2312"/>
          <w:sz w:val="32"/>
          <w:szCs w:val="32"/>
        </w:rPr>
        <w:t>截至</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02</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lang w:val="en-US" w:eastAsia="zh-CN"/>
        </w:rPr>
        <w:t>12</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31</w:t>
      </w:r>
      <w:r>
        <w:rPr>
          <w:rFonts w:hint="eastAsia" w:ascii="仿宋_GB2312" w:hAnsi="仿宋_GB2312" w:eastAsia="仿宋_GB2312" w:cs="仿宋_GB2312"/>
          <w:sz w:val="32"/>
          <w:szCs w:val="32"/>
        </w:rPr>
        <w:t>日，烟店镇全年共主动公开政府信息</w:t>
      </w:r>
      <w:r>
        <w:rPr>
          <w:rFonts w:hint="eastAsia" w:ascii="Times New Roman" w:hAnsi="Times New Roman" w:eastAsia="仿宋_GB2312" w:cs="Times New Roman"/>
          <w:sz w:val="32"/>
          <w:szCs w:val="32"/>
          <w:lang w:val="en-US" w:eastAsia="zh-CN"/>
        </w:rPr>
        <w:t>344</w:t>
      </w:r>
      <w:r>
        <w:rPr>
          <w:rFonts w:hint="eastAsia" w:ascii="仿宋_GB2312" w:hAnsi="仿宋_GB2312" w:eastAsia="仿宋_GB2312" w:cs="仿宋_GB2312"/>
          <w:sz w:val="32"/>
          <w:szCs w:val="32"/>
        </w:rPr>
        <w:t>条，其中，网上公开</w:t>
      </w:r>
      <w:r>
        <w:rPr>
          <w:rFonts w:hint="eastAsia" w:ascii="Times New Roman" w:hAnsi="Times New Roman" w:eastAsia="仿宋_GB2312" w:cs="Times New Roman"/>
          <w:sz w:val="32"/>
          <w:szCs w:val="32"/>
          <w:lang w:val="en-US" w:eastAsia="zh-CN"/>
        </w:rPr>
        <w:t>344</w:t>
      </w:r>
      <w:r>
        <w:rPr>
          <w:rFonts w:hint="eastAsia" w:ascii="仿宋_GB2312" w:hAnsi="仿宋_GB2312" w:eastAsia="仿宋_GB2312" w:cs="仿宋_GB2312"/>
          <w:sz w:val="32"/>
          <w:szCs w:val="32"/>
        </w:rPr>
        <w:t>条。公开</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rPr>
        <w:t>主要包括</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规范性文件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主动公开</w:t>
      </w:r>
      <w:r>
        <w:rPr>
          <w:rFonts w:hint="eastAsia" w:ascii="仿宋_GB2312" w:hAnsi="仿宋_GB2312" w:eastAsia="仿宋_GB2312" w:cs="仿宋_GB2312"/>
          <w:sz w:val="32"/>
          <w:szCs w:val="32"/>
        </w:rPr>
        <w:t>以本机关名义发布或者本机关作为主办部门与其他部门联合发布的规范性文件等。</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政府工作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政府各项工作推进情况，如人居环境整治、脱贫攻坚等各个方面工作均主动公开。</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重要会议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镇政府全体会议、各部门会议等重要会议的有关情况等。</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业务工作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主动公开</w:t>
      </w:r>
      <w:r>
        <w:rPr>
          <w:rFonts w:hint="eastAsia" w:ascii="仿宋_GB2312" w:hAnsi="仿宋_GB2312" w:eastAsia="仿宋_GB2312" w:cs="仿宋_GB2312"/>
          <w:sz w:val="32"/>
          <w:szCs w:val="32"/>
        </w:rPr>
        <w:t>重大建设项目的批准和实施情况；环境保护、公共卫生、安全生产的监督检查情况；社会保障、促进就业等方面的政策情况。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依申请公开。</w:t>
      </w:r>
      <w:r>
        <w:rPr>
          <w:rFonts w:hint="eastAsia" w:ascii="仿宋_GB2312" w:hAnsi="仿宋_GB2312" w:eastAsia="仿宋_GB2312" w:cs="仿宋_GB2312"/>
          <w:sz w:val="32"/>
          <w:szCs w:val="32"/>
          <w:lang w:val="en-US" w:eastAsia="zh-CN"/>
        </w:rPr>
        <w:t>烟店镇人民政府规范依申请公开流程，明确接收、登记、办理、调查、大幅等各环节标准和责任分工，统一格式。</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年度，我单位未收到政府信息公开申请。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（三）政府信息管理。</w:t>
      </w:r>
      <w:r>
        <w:rPr>
          <w:rFonts w:hint="eastAsia" w:ascii="仿宋_GB2312" w:hAnsi="仿宋_GB2312" w:eastAsia="仿宋_GB2312" w:cs="仿宋_GB2312"/>
          <w:sz w:val="32"/>
          <w:szCs w:val="32"/>
          <w:lang w:val="en-US" w:eastAsia="zh-CN"/>
        </w:rPr>
        <w:t>结合工作开展的实际，我镇政务公开工作始终坚持形式与内容、载体与效果的统一，健全完善政务公开分工、信息发布保密审查等制度，明确政府信息公开的方式、内容、工作程序及其公开时限。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（四）平台建设。</w:t>
      </w:r>
      <w:r>
        <w:rPr>
          <w:rFonts w:hint="eastAsia" w:ascii="仿宋_GB2312" w:hAnsi="仿宋_GB2312" w:eastAsia="仿宋_GB2312" w:cs="仿宋_GB2312"/>
          <w:sz w:val="32"/>
          <w:szCs w:val="32"/>
          <w:lang w:val="en-US" w:eastAsia="zh-CN"/>
        </w:rPr>
        <w:t>明确政务新媒体功能定位,以内容建设为基础，强化发布、传播、互动、引导、办事等功能，提升政务新媒体发布实效。持续优化“山东烟店”微信公众号，</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年增设我帮你办、视觉聚焦、干部监督等专栏，微信公众号关注量超过</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（五）监督保障。</w:t>
      </w:r>
      <w:r>
        <w:rPr>
          <w:rFonts w:hint="eastAsia" w:ascii="仿宋_GB2312" w:hAnsi="仿宋_GB2312" w:eastAsia="仿宋_GB2312" w:cs="仿宋_GB2312"/>
          <w:sz w:val="32"/>
          <w:szCs w:val="32"/>
          <w:lang w:val="en-US" w:eastAsia="zh-CN"/>
        </w:rPr>
        <w:t>认真贯彻政府信息公开条例，依法履行、推进本单位政府信息公开工作职能，加强政务公开机构建设、专职人员配备和业务培训，切实提升信息公开工作能力。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（六）建议和提案办理结果公开情况。</w:t>
      </w: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本单位收到人大建议0件，政协提案0件。</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行政机关</w:t>
      </w:r>
      <w:r>
        <w:rPr>
          <w:rFonts w:hint="eastAsia" w:ascii="黑体" w:hAnsi="黑体" w:eastAsia="黑体" w:cs="黑体"/>
          <w:sz w:val="32"/>
          <w:szCs w:val="32"/>
        </w:rPr>
        <w:t>主动公开政府信息情况</w:t>
      </w:r>
    </w:p>
    <w:tbl>
      <w:tblPr>
        <w:tblStyle w:val="4"/>
        <w:tblW w:w="88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6"/>
        <w:gridCol w:w="2206"/>
        <w:gridCol w:w="2206"/>
        <w:gridCol w:w="2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l2br w:val="nil"/>
              <w:tr2bl w:val="nil"/>
            </w:tcBorders>
            <w:shd w:val="clear" w:color="000000" w:fill="C6D9F1"/>
            <w:noWrap w:val="0"/>
            <w:vAlign w:val="center"/>
          </w:tcPr>
          <w:p>
            <w:pPr>
              <w:widowControl/>
              <w:spacing w:beforeLines="0" w:afterLines="0"/>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信息内容</w:t>
            </w:r>
          </w:p>
        </w:tc>
        <w:tc>
          <w:tcPr>
            <w:tcW w:w="2206" w:type="dxa"/>
            <w:tcBorders>
              <w:top w:val="nil"/>
              <w:left w:val="nil"/>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本年制发件数</w:t>
            </w:r>
          </w:p>
        </w:tc>
        <w:tc>
          <w:tcPr>
            <w:tcW w:w="2206" w:type="dxa"/>
            <w:tcBorders>
              <w:top w:val="nil"/>
              <w:left w:val="nil"/>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本年废止件数</w:t>
            </w:r>
          </w:p>
        </w:tc>
        <w:tc>
          <w:tcPr>
            <w:tcW w:w="2206" w:type="dxa"/>
            <w:tcBorders>
              <w:top w:val="nil"/>
              <w:left w:val="nil"/>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l2br w:val="nil"/>
              <w:tr2bl w:val="nil"/>
            </w:tcBorders>
            <w:noWrap w:val="0"/>
            <w:vAlign w:val="center"/>
          </w:tcPr>
          <w:p>
            <w:pPr>
              <w:widowControl/>
              <w:spacing w:beforeLines="0" w:afterLine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规章</w:t>
            </w:r>
          </w:p>
        </w:tc>
        <w:tc>
          <w:tcPr>
            <w:tcW w:w="2206" w:type="dxa"/>
            <w:tcBorders>
              <w:top w:val="nil"/>
              <w:left w:val="nil"/>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0</w:t>
            </w:r>
          </w:p>
        </w:tc>
        <w:tc>
          <w:tcPr>
            <w:tcW w:w="2206" w:type="dxa"/>
            <w:tcBorders>
              <w:top w:val="nil"/>
              <w:left w:val="nil"/>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0</w:t>
            </w:r>
          </w:p>
        </w:tc>
        <w:tc>
          <w:tcPr>
            <w:tcW w:w="2206" w:type="dxa"/>
            <w:tcBorders>
              <w:top w:val="nil"/>
              <w:left w:val="nil"/>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Calibri" w:eastAsia="仿宋_GB2312" w:cs="Calibri"/>
                <w:color w:val="000000"/>
                <w:kern w:val="0"/>
                <w:sz w:val="21"/>
                <w:szCs w:val="21"/>
                <w:lang w:val="en-US" w:eastAsia="zh-CN"/>
              </w:rPr>
            </w:pPr>
            <w:r>
              <w:rPr>
                <w:rFonts w:hint="eastAsia" w:ascii="仿宋_GB2312" w:hAnsi="Calibri" w:eastAsia="仿宋_GB2312" w:cs="Calibri"/>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l2br w:val="nil"/>
              <w:tr2bl w:val="nil"/>
            </w:tcBorders>
            <w:noWrap w:val="0"/>
            <w:vAlign w:val="center"/>
          </w:tcPr>
          <w:p>
            <w:pPr>
              <w:widowControl/>
              <w:spacing w:beforeLines="0" w:afterLine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行政规范性文件</w:t>
            </w:r>
          </w:p>
        </w:tc>
        <w:tc>
          <w:tcPr>
            <w:tcW w:w="2206" w:type="dxa"/>
            <w:tcBorders>
              <w:top w:val="nil"/>
              <w:left w:val="nil"/>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0</w:t>
            </w:r>
          </w:p>
        </w:tc>
        <w:tc>
          <w:tcPr>
            <w:tcW w:w="2206" w:type="dxa"/>
            <w:tcBorders>
              <w:top w:val="nil"/>
              <w:left w:val="nil"/>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0</w:t>
            </w:r>
          </w:p>
        </w:tc>
        <w:tc>
          <w:tcPr>
            <w:tcW w:w="2206" w:type="dxa"/>
            <w:tcBorders>
              <w:top w:val="nil"/>
              <w:left w:val="nil"/>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Calibri" w:eastAsia="仿宋_GB2312" w:cs="Calibri"/>
                <w:color w:val="000000"/>
                <w:kern w:val="0"/>
                <w:sz w:val="21"/>
                <w:szCs w:val="21"/>
                <w:lang w:val="en-US" w:eastAsia="zh-CN"/>
              </w:rPr>
            </w:pPr>
            <w:r>
              <w:rPr>
                <w:rFonts w:hint="eastAsia" w:ascii="仿宋_GB2312" w:hAnsi="Calibri" w:eastAsia="仿宋_GB2312" w:cs="Calibri"/>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l2br w:val="nil"/>
              <w:tr2bl w:val="nil"/>
            </w:tcBorders>
            <w:shd w:val="clear" w:color="000000" w:fill="C6D9F1"/>
            <w:noWrap w:val="0"/>
            <w:vAlign w:val="center"/>
          </w:tcPr>
          <w:p>
            <w:pPr>
              <w:widowControl/>
              <w:spacing w:beforeLines="0" w:afterLines="0"/>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4" w:space="0"/>
              <w:right w:val="single" w:color="auto"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信息内容</w:t>
            </w:r>
          </w:p>
        </w:tc>
        <w:tc>
          <w:tcPr>
            <w:tcW w:w="6618" w:type="dxa"/>
            <w:gridSpan w:val="3"/>
            <w:tcBorders>
              <w:top w:val="single" w:color="auto" w:sz="8" w:space="0"/>
              <w:left w:val="nil"/>
              <w:bottom w:val="single" w:color="auto" w:sz="8" w:space="0"/>
              <w:right w:val="single" w:color="000000"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0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行政许可</w:t>
            </w:r>
          </w:p>
        </w:tc>
        <w:tc>
          <w:tcPr>
            <w:tcW w:w="6618" w:type="dxa"/>
            <w:gridSpan w:val="3"/>
            <w:tcBorders>
              <w:top w:val="single" w:color="auto" w:sz="8" w:space="0"/>
              <w:left w:val="single" w:color="auto" w:sz="4" w:space="0"/>
              <w:bottom w:val="single" w:color="auto" w:sz="8" w:space="0"/>
              <w:right w:val="single" w:color="000000" w:sz="8" w:space="0"/>
              <w:tl2br w:val="nil"/>
              <w:tr2bl w:val="nil"/>
            </w:tcBorders>
            <w:noWrap w:val="0"/>
            <w:vAlign w:val="center"/>
          </w:tcPr>
          <w:p>
            <w:pPr>
              <w:widowControl/>
              <w:spacing w:beforeLines="0" w:afterLines="0"/>
              <w:jc w:val="center"/>
              <w:rPr>
                <w:rFonts w:hint="eastAsia" w:ascii="仿宋_GB2312" w:hAnsi="Calibri" w:eastAsia="仿宋_GB2312" w:cs="Calibri"/>
                <w:color w:val="000000"/>
                <w:kern w:val="0"/>
                <w:sz w:val="21"/>
                <w:szCs w:val="21"/>
                <w:lang w:val="en-US" w:eastAsia="zh-CN"/>
              </w:rPr>
            </w:pPr>
            <w:r>
              <w:rPr>
                <w:rFonts w:hint="eastAsia" w:ascii="仿宋_GB2312" w:hAnsi="Calibri" w:eastAsia="仿宋_GB2312" w:cs="Calibri"/>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l2br w:val="nil"/>
              <w:tr2bl w:val="nil"/>
            </w:tcBorders>
            <w:shd w:val="clear" w:color="000000" w:fill="C6D9F1"/>
            <w:noWrap w:val="0"/>
            <w:vAlign w:val="center"/>
          </w:tcPr>
          <w:p>
            <w:pPr>
              <w:widowControl/>
              <w:spacing w:beforeLines="0" w:afterLines="0"/>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信息内容</w:t>
            </w:r>
          </w:p>
        </w:tc>
        <w:tc>
          <w:tcPr>
            <w:tcW w:w="6618" w:type="dxa"/>
            <w:gridSpan w:val="3"/>
            <w:tcBorders>
              <w:top w:val="single" w:color="auto" w:sz="8" w:space="0"/>
              <w:left w:val="nil"/>
              <w:bottom w:val="single" w:color="auto" w:sz="8" w:space="0"/>
              <w:right w:val="single" w:color="000000"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l2br w:val="nil"/>
              <w:tr2bl w:val="nil"/>
            </w:tcBorders>
            <w:noWrap w:val="0"/>
            <w:vAlign w:val="center"/>
          </w:tcPr>
          <w:p>
            <w:pPr>
              <w:widowControl/>
              <w:spacing w:beforeLines="0" w:afterLine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行政处罚</w:t>
            </w:r>
          </w:p>
        </w:tc>
        <w:tc>
          <w:tcPr>
            <w:tcW w:w="6618" w:type="dxa"/>
            <w:gridSpan w:val="3"/>
            <w:tcBorders>
              <w:top w:val="single" w:color="auto" w:sz="8" w:space="0"/>
              <w:left w:val="nil"/>
              <w:bottom w:val="single" w:color="auto" w:sz="8" w:space="0"/>
              <w:right w:val="single" w:color="000000"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l2br w:val="nil"/>
              <w:tr2bl w:val="nil"/>
            </w:tcBorders>
            <w:noWrap w:val="0"/>
            <w:vAlign w:val="center"/>
          </w:tcPr>
          <w:p>
            <w:pPr>
              <w:widowControl/>
              <w:spacing w:beforeLines="0" w:afterLine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行政强制</w:t>
            </w:r>
          </w:p>
        </w:tc>
        <w:tc>
          <w:tcPr>
            <w:tcW w:w="6618" w:type="dxa"/>
            <w:gridSpan w:val="3"/>
            <w:tcBorders>
              <w:top w:val="single" w:color="auto" w:sz="8" w:space="0"/>
              <w:left w:val="nil"/>
              <w:bottom w:val="single" w:color="auto" w:sz="8" w:space="0"/>
              <w:right w:val="single" w:color="000000"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l2br w:val="nil"/>
              <w:tr2bl w:val="nil"/>
            </w:tcBorders>
            <w:shd w:val="clear" w:color="000000" w:fill="C6D9F1"/>
            <w:noWrap w:val="0"/>
            <w:vAlign w:val="center"/>
          </w:tcPr>
          <w:p>
            <w:pPr>
              <w:widowControl/>
              <w:spacing w:beforeLines="0" w:afterLines="0"/>
              <w:jc w:val="center"/>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信息内容</w:t>
            </w:r>
          </w:p>
        </w:tc>
        <w:tc>
          <w:tcPr>
            <w:tcW w:w="6618" w:type="dxa"/>
            <w:gridSpan w:val="3"/>
            <w:tcBorders>
              <w:top w:val="single" w:color="auto" w:sz="8" w:space="0"/>
              <w:left w:val="nil"/>
              <w:bottom w:val="single" w:color="auto" w:sz="8" w:space="0"/>
              <w:right w:val="single" w:color="000000" w:sz="8" w:space="0"/>
              <w:tl2br w:val="nil"/>
              <w:tr2bl w:val="nil"/>
            </w:tcBorders>
            <w:noWrap w:val="0"/>
            <w:vAlign w:val="center"/>
          </w:tcPr>
          <w:p>
            <w:pPr>
              <w:widowControl/>
              <w:spacing w:beforeLines="0" w:afterLine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l2br w:val="nil"/>
              <w:tr2bl w:val="nil"/>
            </w:tcBorders>
            <w:noWrap w:val="0"/>
            <w:vAlign w:val="center"/>
          </w:tcPr>
          <w:p>
            <w:pPr>
              <w:widowControl/>
              <w:spacing w:beforeLines="0" w:afterLine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行政事业性收费</w:t>
            </w:r>
          </w:p>
        </w:tc>
        <w:tc>
          <w:tcPr>
            <w:tcW w:w="6618" w:type="dxa"/>
            <w:gridSpan w:val="3"/>
            <w:tcBorders>
              <w:top w:val="single" w:color="auto" w:sz="8" w:space="0"/>
              <w:left w:val="nil"/>
              <w:bottom w:val="single" w:color="auto" w:sz="8" w:space="0"/>
              <w:right w:val="single" w:color="000000" w:sz="8" w:space="0"/>
              <w:tl2br w:val="nil"/>
              <w:tr2bl w:val="nil"/>
            </w:tcBorders>
            <w:noWrap w:val="0"/>
            <w:vAlign w:val="center"/>
          </w:tcPr>
          <w:p>
            <w:pPr>
              <w:widowControl/>
              <w:spacing w:beforeLines="0" w:afterLines="0"/>
              <w:jc w:val="center"/>
              <w:rPr>
                <w:rFonts w:hint="eastAsia" w:ascii="仿宋_GB2312" w:hAnsi="Calibri" w:eastAsia="仿宋_GB2312" w:cs="Calibri"/>
                <w:color w:val="000000"/>
                <w:kern w:val="0"/>
                <w:sz w:val="21"/>
                <w:szCs w:val="21"/>
                <w:lang w:val="en-US" w:eastAsia="zh-CN"/>
              </w:rPr>
            </w:pPr>
            <w:r>
              <w:rPr>
                <w:rFonts w:hint="eastAsia" w:ascii="仿宋_GB2312" w:hAnsi="Calibri" w:eastAsia="仿宋_GB2312" w:cs="Calibri"/>
                <w:color w:val="000000"/>
                <w:kern w:val="0"/>
                <w:sz w:val="21"/>
                <w:szCs w:val="21"/>
                <w:lang w:val="en-US" w:eastAsia="zh-CN"/>
              </w:rPr>
              <w:t>0</w:t>
            </w:r>
          </w:p>
        </w:tc>
      </w:tr>
    </w:tbl>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行政机关</w:t>
      </w:r>
      <w:r>
        <w:rPr>
          <w:rFonts w:hint="eastAsia" w:ascii="黑体" w:hAnsi="黑体" w:eastAsia="黑体" w:cs="黑体"/>
          <w:sz w:val="32"/>
          <w:szCs w:val="32"/>
        </w:rPr>
        <w:t>收到和处理政府信息公开申请情况</w:t>
      </w:r>
    </w:p>
    <w:tbl>
      <w:tblPr>
        <w:tblStyle w:val="4"/>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tcBorders>
              <w:top w:val="single" w:color="auto" w:sz="8"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jc w:val="center"/>
              <w:rPr>
                <w:rFonts w:hint="eastAsia" w:ascii="楷体_GB2312" w:hAnsi="黑体" w:eastAsia="楷体_GB2312"/>
                <w:kern w:val="0"/>
                <w:sz w:val="21"/>
                <w:szCs w:val="21"/>
              </w:rPr>
            </w:pPr>
            <w:r>
              <w:rPr>
                <w:rFonts w:hint="eastAsia" w:ascii="楷体_GB2312" w:hAnsi="黑体" w:eastAsia="楷体_GB2312"/>
                <w:kern w:val="0"/>
                <w:sz w:val="21"/>
                <w:szCs w:val="21"/>
              </w:rPr>
              <w:t>（本列数据的勾稽关系为：第一项加第二项之和，</w:t>
            </w:r>
          </w:p>
          <w:p>
            <w:pPr>
              <w:widowControl/>
              <w:spacing w:beforeLines="0" w:afterLines="0"/>
              <w:jc w:val="center"/>
              <w:rPr>
                <w:rFonts w:hint="eastAsia" w:ascii="仿宋_GB2312" w:hAnsi="Times New Roman" w:eastAsia="仿宋_GB2312"/>
                <w:sz w:val="21"/>
                <w:szCs w:val="21"/>
              </w:rPr>
            </w:pPr>
            <w:r>
              <w:rPr>
                <w:rFonts w:hint="eastAsia" w:ascii="楷体_GB2312" w:hAnsi="黑体" w:eastAsia="楷体_GB2312"/>
                <w:kern w:val="0"/>
                <w:sz w:val="21"/>
                <w:szCs w:val="21"/>
              </w:rPr>
              <w:t>等于第三项加第四项之和）</w:t>
            </w:r>
          </w:p>
        </w:tc>
        <w:tc>
          <w:tcPr>
            <w:tcW w:w="4820" w:type="dxa"/>
            <w:gridSpan w:val="7"/>
            <w:tcBorders>
              <w:top w:val="single" w:color="auto" w:sz="8"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Lines="0" w:line="320" w:lineRule="exact"/>
              <w:jc w:val="center"/>
              <w:rPr>
                <w:rFonts w:hint="eastAsia" w:ascii="黑体" w:hAnsi="黑体" w:eastAsia="黑体"/>
                <w:sz w:val="21"/>
                <w:szCs w:val="21"/>
              </w:rPr>
            </w:pPr>
            <w:r>
              <w:rPr>
                <w:rFonts w:hint="eastAsia" w:ascii="黑体" w:hAnsi="黑体" w:eastAsia="黑体"/>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jc w:val="center"/>
              <w:rPr>
                <w:rFonts w:hint="eastAsia" w:ascii="仿宋_GB2312" w:hAnsi="Times New Roman" w:eastAsia="仿宋_GB2312"/>
                <w:sz w:val="21"/>
                <w:szCs w:val="21"/>
              </w:rPr>
            </w:pPr>
          </w:p>
        </w:tc>
        <w:tc>
          <w:tcPr>
            <w:tcW w:w="829" w:type="dxa"/>
            <w:vMerge w:val="restart"/>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jc w:val="center"/>
              <w:rPr>
                <w:rFonts w:hint="eastAsia" w:ascii="黑体" w:hAnsi="黑体" w:eastAsia="黑体"/>
                <w:sz w:val="21"/>
                <w:szCs w:val="21"/>
              </w:rPr>
            </w:pPr>
            <w:r>
              <w:rPr>
                <w:rFonts w:hint="eastAsia" w:ascii="黑体" w:hAnsi="黑体" w:eastAsia="黑体"/>
                <w:kern w:val="0"/>
                <w:sz w:val="21"/>
                <w:szCs w:val="21"/>
              </w:rPr>
              <w:t>自然人</w:t>
            </w:r>
          </w:p>
        </w:tc>
        <w:tc>
          <w:tcPr>
            <w:tcW w:w="3140" w:type="dxa"/>
            <w:gridSpan w:val="5"/>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320" w:lineRule="exact"/>
              <w:jc w:val="center"/>
              <w:rPr>
                <w:rFonts w:hint="eastAsia" w:ascii="黑体" w:hAnsi="黑体" w:eastAsia="黑体"/>
                <w:sz w:val="21"/>
                <w:szCs w:val="21"/>
              </w:rPr>
            </w:pPr>
            <w:r>
              <w:rPr>
                <w:rFonts w:hint="eastAsia" w:ascii="黑体" w:hAnsi="黑体" w:eastAsia="黑体"/>
                <w:kern w:val="0"/>
                <w:sz w:val="21"/>
                <w:szCs w:val="21"/>
              </w:rPr>
              <w:t>法人或其他组织</w:t>
            </w:r>
          </w:p>
        </w:tc>
        <w:tc>
          <w:tcPr>
            <w:tcW w:w="851" w:type="dxa"/>
            <w:vMerge w:val="restart"/>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Lines="0"/>
              <w:jc w:val="center"/>
              <w:rPr>
                <w:rFonts w:hint="eastAsia" w:ascii="黑体" w:hAnsi="黑体" w:eastAsia="黑体"/>
                <w:sz w:val="21"/>
                <w:szCs w:val="21"/>
              </w:rPr>
            </w:pPr>
            <w:r>
              <w:rPr>
                <w:rFonts w:hint="eastAsia" w:ascii="黑体" w:hAnsi="黑体" w:eastAsia="黑体"/>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jc w:val="center"/>
              <w:rPr>
                <w:rFonts w:hint="eastAsia" w:ascii="仿宋_GB2312" w:hAnsi="Times New Roman" w:eastAsia="仿宋_GB2312"/>
                <w:sz w:val="21"/>
                <w:szCs w:val="21"/>
              </w:rPr>
            </w:pPr>
          </w:p>
        </w:tc>
        <w:tc>
          <w:tcPr>
            <w:tcW w:w="829"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jc w:val="center"/>
              <w:rPr>
                <w:rFonts w:hint="eastAsia" w:ascii="黑体" w:hAnsi="黑体" w:eastAsia="黑体"/>
                <w:sz w:val="21"/>
                <w:szCs w:val="21"/>
              </w:rPr>
            </w:pP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320" w:lineRule="exact"/>
              <w:ind w:left="-106" w:leftChars="-51" w:right="-107" w:rightChars="-51" w:hanging="1"/>
              <w:jc w:val="center"/>
              <w:rPr>
                <w:rFonts w:hint="eastAsia" w:ascii="黑体" w:hAnsi="黑体" w:eastAsia="黑体"/>
                <w:sz w:val="21"/>
                <w:szCs w:val="21"/>
              </w:rPr>
            </w:pPr>
            <w:r>
              <w:rPr>
                <w:rFonts w:hint="eastAsia" w:ascii="黑体" w:hAnsi="黑体" w:eastAsia="黑体"/>
                <w:kern w:val="0"/>
                <w:sz w:val="21"/>
                <w:szCs w:val="21"/>
              </w:rPr>
              <w:t>商业企业</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320" w:lineRule="exact"/>
              <w:ind w:left="-107" w:leftChars="-51" w:right="-107" w:rightChars="-51"/>
              <w:jc w:val="center"/>
              <w:rPr>
                <w:rFonts w:hint="eastAsia" w:ascii="黑体" w:hAnsi="黑体" w:eastAsia="黑体"/>
                <w:sz w:val="21"/>
                <w:szCs w:val="21"/>
              </w:rPr>
            </w:pPr>
            <w:r>
              <w:rPr>
                <w:rFonts w:hint="eastAsia" w:ascii="黑体" w:hAnsi="黑体" w:eastAsia="黑体"/>
                <w:kern w:val="0"/>
                <w:sz w:val="21"/>
                <w:szCs w:val="21"/>
              </w:rPr>
              <w:t>科研机构</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320" w:lineRule="exact"/>
              <w:ind w:left="-107" w:leftChars="-51" w:right="-107" w:rightChars="-51"/>
              <w:jc w:val="center"/>
              <w:rPr>
                <w:rFonts w:hint="eastAsia" w:ascii="黑体" w:hAnsi="黑体" w:eastAsia="黑体"/>
                <w:sz w:val="21"/>
                <w:szCs w:val="21"/>
              </w:rPr>
            </w:pPr>
            <w:r>
              <w:rPr>
                <w:rFonts w:hint="eastAsia" w:ascii="黑体" w:hAnsi="黑体" w:eastAsia="黑体"/>
                <w:kern w:val="0"/>
                <w:sz w:val="21"/>
                <w:szCs w:val="21"/>
              </w:rPr>
              <w:t>社会公益组织</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320" w:lineRule="exact"/>
              <w:ind w:left="-106" w:leftChars="-51" w:right="-107" w:rightChars="-51" w:hanging="1"/>
              <w:jc w:val="center"/>
              <w:rPr>
                <w:rFonts w:hint="eastAsia" w:ascii="黑体" w:hAnsi="黑体" w:eastAsia="黑体"/>
                <w:sz w:val="21"/>
                <w:szCs w:val="21"/>
              </w:rPr>
            </w:pPr>
            <w:r>
              <w:rPr>
                <w:rFonts w:hint="eastAsia" w:ascii="黑体" w:hAnsi="黑体" w:eastAsia="黑体"/>
                <w:kern w:val="0"/>
                <w:sz w:val="21"/>
                <w:szCs w:val="21"/>
              </w:rPr>
              <w:t>法律服务机构</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360" w:lineRule="exact"/>
              <w:ind w:left="-63" w:leftChars="-30" w:right="-134" w:rightChars="-64"/>
              <w:jc w:val="center"/>
              <w:rPr>
                <w:rFonts w:hint="eastAsia" w:ascii="黑体" w:hAnsi="黑体" w:eastAsia="黑体"/>
                <w:sz w:val="21"/>
                <w:szCs w:val="21"/>
              </w:rPr>
            </w:pPr>
            <w:r>
              <w:rPr>
                <w:rFonts w:hint="eastAsia" w:ascii="黑体" w:hAnsi="黑体" w:eastAsia="黑体"/>
                <w:kern w:val="0"/>
                <w:sz w:val="21"/>
                <w:szCs w:val="21"/>
              </w:rPr>
              <w:t>其他</w:t>
            </w:r>
          </w:p>
        </w:tc>
        <w:tc>
          <w:tcPr>
            <w:tcW w:w="851" w:type="dxa"/>
            <w:vMerge w:val="continue"/>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rPr>
                <w:rFonts w:hint="eastAsia" w:ascii="黑体" w:hAnsi="黑体" w:eastAsia="黑体"/>
                <w:sz w:val="21"/>
                <w:szCs w:val="21"/>
              </w:rPr>
            </w:pPr>
            <w:r>
              <w:rPr>
                <w:rFonts w:hint="eastAsia" w:ascii="黑体" w:hAnsi="黑体" w:eastAsia="黑体"/>
                <w:kern w:val="0"/>
                <w:sz w:val="21"/>
                <w:szCs w:val="21"/>
              </w:rPr>
              <w:t>一、</w:t>
            </w:r>
            <w:bookmarkStart w:id="0" w:name="_Hlk66973412"/>
            <w:r>
              <w:rPr>
                <w:rFonts w:hint="eastAsia" w:ascii="黑体" w:hAnsi="黑体" w:eastAsia="黑体"/>
                <w:kern w:val="0"/>
                <w:sz w:val="21"/>
                <w:szCs w:val="21"/>
              </w:rPr>
              <w:t>本年新收政府信息公开申请数量</w:t>
            </w:r>
            <w:bookmarkEnd w:id="0"/>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rPr>
                <w:rFonts w:hint="eastAsia" w:ascii="黑体" w:hAnsi="黑体" w:eastAsia="黑体"/>
                <w:sz w:val="21"/>
                <w:szCs w:val="21"/>
              </w:rPr>
            </w:pPr>
            <w:r>
              <w:rPr>
                <w:rFonts w:hint="eastAsia" w:ascii="黑体" w:hAnsi="黑体" w:eastAsia="黑体"/>
                <w:kern w:val="0"/>
                <w:sz w:val="21"/>
                <w:szCs w:val="21"/>
              </w:rPr>
              <w:t>二、上年结转政府信息公开申请数量</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rPr>
                <w:rFonts w:hint="eastAsia" w:ascii="黑体" w:hAnsi="黑体" w:eastAsia="黑体"/>
                <w:sz w:val="21"/>
                <w:szCs w:val="21"/>
              </w:rPr>
            </w:pPr>
            <w:r>
              <w:rPr>
                <w:rFonts w:hint="eastAsia" w:ascii="黑体" w:hAnsi="黑体" w:eastAsia="黑体"/>
                <w:kern w:val="0"/>
                <w:sz w:val="21"/>
                <w:szCs w:val="21"/>
              </w:rPr>
              <w:t>三、本年度办理结果</w:t>
            </w:r>
          </w:p>
        </w:tc>
        <w:tc>
          <w:tcPr>
            <w:tcW w:w="4677" w:type="dxa"/>
            <w:gridSpan w:val="2"/>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rPr>
                <w:rFonts w:hint="eastAsia" w:ascii="黑体" w:hAnsi="黑体" w:eastAsia="黑体"/>
                <w:sz w:val="21"/>
                <w:szCs w:val="21"/>
              </w:rPr>
            </w:pPr>
            <w:r>
              <w:rPr>
                <w:rFonts w:hint="eastAsia" w:ascii="黑体" w:hAnsi="黑体" w:eastAsia="黑体"/>
                <w:kern w:val="0"/>
                <w:sz w:val="21"/>
                <w:szCs w:val="21"/>
              </w:rPr>
              <w:t>（一）予以公开</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4677" w:type="dxa"/>
            <w:gridSpan w:val="2"/>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rPr>
                <w:rFonts w:hint="eastAsia" w:ascii="黑体" w:hAnsi="黑体" w:eastAsia="黑体"/>
                <w:sz w:val="21"/>
                <w:szCs w:val="21"/>
              </w:rPr>
            </w:pPr>
            <w:r>
              <w:rPr>
                <w:rFonts w:hint="eastAsia" w:ascii="黑体" w:hAnsi="黑体" w:eastAsia="黑体"/>
                <w:kern w:val="0"/>
                <w:sz w:val="21"/>
                <w:szCs w:val="21"/>
              </w:rPr>
              <w:t>（二）部分公开（</w:t>
            </w:r>
            <w:bookmarkStart w:id="1" w:name="_Hlk66973981"/>
            <w:r>
              <w:rPr>
                <w:rFonts w:hint="eastAsia" w:ascii="黑体" w:hAnsi="黑体" w:eastAsia="黑体"/>
                <w:kern w:val="0"/>
                <w:sz w:val="21"/>
                <w:szCs w:val="21"/>
              </w:rPr>
              <w:t>区分处理的，只计这一情形，不计其他情形</w:t>
            </w:r>
            <w:bookmarkEnd w:id="1"/>
            <w:r>
              <w:rPr>
                <w:rFonts w:hint="eastAsia" w:ascii="黑体" w:hAnsi="黑体" w:eastAsia="黑体"/>
                <w:kern w:val="0"/>
                <w:sz w:val="21"/>
                <w:szCs w:val="21"/>
              </w:rPr>
              <w:t>）</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ind w:left="-107" w:leftChars="-51"/>
              <w:rPr>
                <w:rFonts w:hint="eastAsia" w:ascii="黑体" w:hAnsi="黑体" w:eastAsia="黑体"/>
                <w:sz w:val="21"/>
                <w:szCs w:val="21"/>
              </w:rPr>
            </w:pPr>
            <w:r>
              <w:rPr>
                <w:rFonts w:hint="eastAsia" w:ascii="黑体" w:hAnsi="黑体" w:eastAsia="黑体"/>
                <w:kern w:val="0"/>
                <w:sz w:val="21"/>
                <w:szCs w:val="21"/>
              </w:rPr>
              <w:t>（三）不予公开</w:t>
            </w: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1.属于国家秘密</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2.</w:t>
            </w:r>
            <w:bookmarkStart w:id="2" w:name="_Hlk66974104"/>
            <w:r>
              <w:rPr>
                <w:rFonts w:hint="eastAsia" w:ascii="仿宋_GB2312" w:hAnsi="黑体" w:eastAsia="仿宋_GB2312"/>
                <w:kern w:val="0"/>
                <w:sz w:val="21"/>
                <w:szCs w:val="21"/>
              </w:rPr>
              <w:t>其他法律行政法规禁止公开</w:t>
            </w:r>
            <w:bookmarkEnd w:id="2"/>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3.危及“三安全一稳定”</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4.</w:t>
            </w:r>
            <w:bookmarkStart w:id="3" w:name="_Hlk66974290"/>
            <w:r>
              <w:rPr>
                <w:rFonts w:hint="eastAsia" w:ascii="仿宋_GB2312" w:hAnsi="黑体" w:eastAsia="仿宋_GB2312"/>
                <w:kern w:val="0"/>
                <w:sz w:val="21"/>
                <w:szCs w:val="21"/>
              </w:rPr>
              <w:t>保护第三方合法权益</w:t>
            </w:r>
            <w:bookmarkEnd w:id="3"/>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5.属于三类内部事务信息</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6.</w:t>
            </w:r>
            <w:bookmarkStart w:id="4" w:name="_Hlk66974555"/>
            <w:r>
              <w:rPr>
                <w:rFonts w:hint="eastAsia" w:ascii="仿宋_GB2312" w:hAnsi="黑体" w:eastAsia="仿宋_GB2312"/>
                <w:kern w:val="0"/>
                <w:sz w:val="21"/>
                <w:szCs w:val="21"/>
              </w:rPr>
              <w:t>属于四类过程性信息</w:t>
            </w:r>
            <w:bookmarkEnd w:id="4"/>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7.属于行政执法案卷</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8.</w:t>
            </w:r>
            <w:bookmarkStart w:id="5" w:name="_Hlk66975211"/>
            <w:r>
              <w:rPr>
                <w:rFonts w:hint="eastAsia" w:ascii="仿宋_GB2312" w:hAnsi="黑体" w:eastAsia="仿宋_GB2312"/>
                <w:kern w:val="0"/>
                <w:sz w:val="21"/>
                <w:szCs w:val="21"/>
              </w:rPr>
              <w:t>属于行政查询事项</w:t>
            </w:r>
            <w:bookmarkEnd w:id="5"/>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ind w:left="-107" w:leftChars="-51"/>
              <w:rPr>
                <w:rFonts w:hint="eastAsia" w:ascii="黑体" w:hAnsi="黑体" w:eastAsia="黑体"/>
                <w:sz w:val="21"/>
                <w:szCs w:val="21"/>
              </w:rPr>
            </w:pPr>
            <w:r>
              <w:rPr>
                <w:rFonts w:hint="eastAsia" w:ascii="黑体" w:hAnsi="黑体" w:eastAsia="黑体"/>
                <w:kern w:val="0"/>
                <w:sz w:val="21"/>
                <w:szCs w:val="21"/>
              </w:rPr>
              <w:t>（四）无法提供</w:t>
            </w: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1.本机关不掌握相关政府信息</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ind w:left="-107" w:leftChars="-51"/>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2.</w:t>
            </w:r>
            <w:bookmarkStart w:id="6" w:name="_Hlk66975392"/>
            <w:r>
              <w:rPr>
                <w:rFonts w:hint="eastAsia" w:ascii="仿宋_GB2312" w:hAnsi="黑体" w:eastAsia="仿宋_GB2312"/>
                <w:kern w:val="0"/>
                <w:sz w:val="21"/>
                <w:szCs w:val="21"/>
              </w:rPr>
              <w:t>没有现成信息需要另行制作</w:t>
            </w:r>
            <w:bookmarkEnd w:id="6"/>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ind w:left="-107" w:leftChars="-51"/>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3.</w:t>
            </w:r>
            <w:bookmarkStart w:id="7" w:name="_Hlk66975466"/>
            <w:r>
              <w:rPr>
                <w:rFonts w:hint="eastAsia" w:ascii="仿宋_GB2312" w:hAnsi="黑体" w:eastAsia="仿宋_GB2312"/>
                <w:kern w:val="0"/>
                <w:sz w:val="21"/>
                <w:szCs w:val="21"/>
              </w:rPr>
              <w:t>补正后申请内容仍不明确</w:t>
            </w:r>
            <w:bookmarkEnd w:id="7"/>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ind w:left="-107" w:leftChars="-51"/>
              <w:rPr>
                <w:rFonts w:hint="eastAsia" w:ascii="黑体" w:hAnsi="黑体" w:eastAsia="黑体"/>
                <w:sz w:val="21"/>
                <w:szCs w:val="21"/>
              </w:rPr>
            </w:pPr>
            <w:r>
              <w:rPr>
                <w:rFonts w:hint="eastAsia" w:ascii="黑体" w:hAnsi="黑体" w:eastAsia="黑体"/>
                <w:kern w:val="0"/>
                <w:sz w:val="21"/>
                <w:szCs w:val="21"/>
              </w:rPr>
              <w:t>（五）不予处理</w:t>
            </w: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1.</w:t>
            </w:r>
            <w:bookmarkStart w:id="8" w:name="_Hlk66975537"/>
            <w:r>
              <w:rPr>
                <w:rFonts w:hint="eastAsia" w:ascii="仿宋_GB2312" w:hAnsi="黑体" w:eastAsia="仿宋_GB2312"/>
                <w:kern w:val="0"/>
                <w:sz w:val="21"/>
                <w:szCs w:val="21"/>
              </w:rPr>
              <w:t>信访举报投诉类申请</w:t>
            </w:r>
            <w:bookmarkEnd w:id="8"/>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kern w:val="0"/>
                <w:sz w:val="21"/>
                <w:szCs w:val="21"/>
              </w:rPr>
            </w:pPr>
            <w:r>
              <w:rPr>
                <w:rFonts w:hint="eastAsia" w:ascii="仿宋_GB2312" w:hAnsi="黑体" w:eastAsia="仿宋_GB2312"/>
                <w:kern w:val="0"/>
                <w:sz w:val="21"/>
                <w:szCs w:val="21"/>
              </w:rPr>
              <w:t>2.重复申请</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sz w:val="21"/>
                <w:szCs w:val="21"/>
              </w:rPr>
            </w:pPr>
            <w:r>
              <w:rPr>
                <w:rFonts w:hint="eastAsia" w:ascii="仿宋_GB2312" w:hAnsi="黑体" w:eastAsia="仿宋_GB2312"/>
                <w:kern w:val="0"/>
                <w:sz w:val="21"/>
                <w:szCs w:val="21"/>
              </w:rPr>
              <w:t>3.要求提供公开出版物</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200" w:lineRule="exact"/>
              <w:rPr>
                <w:rFonts w:hint="eastAsia" w:ascii="仿宋_GB2312" w:hAnsi="黑体" w:eastAsia="仿宋_GB2312"/>
                <w:sz w:val="21"/>
                <w:szCs w:val="21"/>
              </w:rPr>
            </w:pPr>
            <w:r>
              <w:rPr>
                <w:rFonts w:hint="eastAsia" w:ascii="仿宋_GB2312" w:hAnsi="黑体" w:eastAsia="仿宋_GB2312"/>
                <w:kern w:val="0"/>
                <w:sz w:val="21"/>
                <w:szCs w:val="21"/>
              </w:rPr>
              <w:t>4.无正当理由大量反复申请</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spacing w:beforeLines="0" w:afterLines="0" w:line="200" w:lineRule="exact"/>
              <w:rPr>
                <w:rFonts w:hint="eastAsia" w:ascii="黑体" w:hAnsi="黑体" w:eastAsia="黑体"/>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300" w:lineRule="exact"/>
              <w:rPr>
                <w:rFonts w:hint="eastAsia" w:ascii="仿宋_GB2312" w:hAnsi="黑体" w:eastAsia="仿宋_GB2312"/>
                <w:kern w:val="0"/>
                <w:sz w:val="21"/>
                <w:szCs w:val="21"/>
              </w:rPr>
            </w:pPr>
            <w:r>
              <w:rPr>
                <w:rFonts w:hint="eastAsia" w:ascii="仿宋_GB2312" w:hAnsi="黑体" w:eastAsia="仿宋_GB2312"/>
                <w:kern w:val="0"/>
                <w:sz w:val="21"/>
                <w:szCs w:val="21"/>
              </w:rPr>
              <w:t>5.要求行政机关确认或重新</w:t>
            </w:r>
          </w:p>
          <w:p>
            <w:pPr>
              <w:widowControl/>
              <w:spacing w:beforeLines="0" w:afterLines="0" w:line="300" w:lineRule="exact"/>
              <w:ind w:firstLine="210" w:firstLineChars="100"/>
              <w:rPr>
                <w:rFonts w:hint="eastAsia" w:ascii="仿宋_GB2312" w:hAnsi="黑体" w:eastAsia="仿宋_GB2312"/>
                <w:sz w:val="21"/>
                <w:szCs w:val="21"/>
              </w:rPr>
            </w:pPr>
            <w:r>
              <w:rPr>
                <w:rFonts w:hint="eastAsia" w:ascii="仿宋_GB2312" w:hAnsi="黑体" w:eastAsia="仿宋_GB2312"/>
                <w:kern w:val="0"/>
                <w:sz w:val="21"/>
                <w:szCs w:val="21"/>
              </w:rPr>
              <w:t>出具已获取信息</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300" w:lineRule="exact"/>
              <w:rPr>
                <w:rFonts w:hint="eastAsia" w:ascii="黑体" w:hAnsi="黑体" w:eastAsia="黑体"/>
                <w:kern w:val="0"/>
                <w:sz w:val="21"/>
                <w:szCs w:val="21"/>
              </w:rPr>
            </w:pPr>
            <w:r>
              <w:rPr>
                <w:rFonts w:hint="eastAsia" w:ascii="黑体" w:hAnsi="黑体" w:eastAsia="黑体"/>
                <w:kern w:val="0"/>
                <w:sz w:val="21"/>
                <w:szCs w:val="21"/>
              </w:rPr>
              <w:t>（六）其他处理</w:t>
            </w:r>
          </w:p>
        </w:tc>
        <w:tc>
          <w:tcPr>
            <w:tcW w:w="297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rPr>
                <w:rFonts w:hint="eastAsia" w:ascii="仿宋_GB2312" w:hAnsi="楷体" w:eastAsia="仿宋_GB2312"/>
                <w:sz w:val="21"/>
                <w:szCs w:val="22"/>
              </w:rPr>
            </w:pPr>
            <w:r>
              <w:rPr>
                <w:rFonts w:hint="eastAsia" w:ascii="仿宋_GB2312" w:hAnsi="楷体" w:eastAsia="仿宋_GB2312"/>
                <w:sz w:val="21"/>
                <w:szCs w:val="22"/>
              </w:rPr>
              <w:t>1.申请人无正当理由逾期不补正、行政机关不再处理其政府信息公开申请</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300" w:lineRule="exact"/>
              <w:rPr>
                <w:rFonts w:hint="eastAsia" w:ascii="黑体" w:hAnsi="黑体" w:eastAsia="黑体"/>
                <w:kern w:val="0"/>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rPr>
                <w:rFonts w:hint="eastAsia" w:ascii="仿宋_GB2312" w:hAnsi="黑体" w:eastAsia="仿宋_GB2312"/>
                <w:kern w:val="0"/>
                <w:sz w:val="21"/>
                <w:szCs w:val="21"/>
              </w:rPr>
            </w:pPr>
            <w:r>
              <w:rPr>
                <w:rFonts w:hint="eastAsia" w:ascii="仿宋_GB2312" w:hAnsi="楷体" w:eastAsia="仿宋_GB2312"/>
                <w:sz w:val="21"/>
                <w:szCs w:val="22"/>
              </w:rPr>
              <w:t>2.申请人逾期未按收费通知要求缴纳费用、行政机关不再处理其政府信息公开申请</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300" w:lineRule="exact"/>
              <w:rPr>
                <w:rFonts w:hint="eastAsia" w:ascii="黑体" w:hAnsi="黑体" w:eastAsia="黑体"/>
                <w:kern w:val="0"/>
                <w:sz w:val="21"/>
                <w:szCs w:val="21"/>
              </w:rPr>
            </w:pPr>
          </w:p>
        </w:tc>
        <w:tc>
          <w:tcPr>
            <w:tcW w:w="297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rPr>
                <w:rFonts w:hint="eastAsia" w:ascii="仿宋_GB2312" w:hAnsi="黑体" w:eastAsia="仿宋_GB2312"/>
                <w:kern w:val="0"/>
                <w:sz w:val="21"/>
                <w:szCs w:val="21"/>
              </w:rPr>
            </w:pPr>
            <w:r>
              <w:rPr>
                <w:rFonts w:hint="eastAsia" w:ascii="仿宋_GB2312" w:hAnsi="楷体" w:eastAsia="仿宋_GB2312"/>
                <w:sz w:val="21"/>
                <w:szCs w:val="22"/>
              </w:rPr>
              <w:t>3.其他</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l2br w:val="nil"/>
              <w:tr2bl w:val="nil"/>
            </w:tcBorders>
            <w:noWrap w:val="0"/>
            <w:tcMar>
              <w:left w:w="108" w:type="dxa"/>
              <w:right w:w="108" w:type="dxa"/>
            </w:tcMar>
            <w:vAlign w:val="center"/>
          </w:tcPr>
          <w:p>
            <w:pPr>
              <w:spacing w:beforeLines="0" w:afterLines="0"/>
              <w:rPr>
                <w:rFonts w:hint="eastAsia" w:ascii="黑体" w:hAnsi="黑体" w:eastAsia="黑体"/>
                <w:sz w:val="21"/>
                <w:szCs w:val="21"/>
              </w:rPr>
            </w:pPr>
          </w:p>
        </w:tc>
        <w:tc>
          <w:tcPr>
            <w:tcW w:w="4677" w:type="dxa"/>
            <w:gridSpan w:val="2"/>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Lines="0" w:line="300" w:lineRule="exact"/>
              <w:rPr>
                <w:rFonts w:hint="eastAsia" w:ascii="黑体" w:hAnsi="黑体" w:eastAsia="黑体"/>
                <w:kern w:val="0"/>
                <w:sz w:val="21"/>
                <w:szCs w:val="21"/>
              </w:rPr>
            </w:pPr>
            <w:r>
              <w:rPr>
                <w:rFonts w:hint="eastAsia" w:ascii="黑体" w:hAnsi="黑体" w:eastAsia="黑体"/>
                <w:kern w:val="0"/>
                <w:sz w:val="21"/>
                <w:szCs w:val="21"/>
              </w:rPr>
              <w:t>（七）总计</w:t>
            </w:r>
          </w:p>
        </w:tc>
        <w:tc>
          <w:tcPr>
            <w:tcW w:w="829"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tcBorders>
              <w:top w:val="single" w:color="auto" w:sz="4" w:space="0"/>
              <w:left w:val="single" w:color="auto" w:sz="8" w:space="0"/>
              <w:bottom w:val="single" w:color="auto" w:sz="8" w:space="0"/>
              <w:right w:val="single" w:color="auto" w:sz="4" w:space="0"/>
              <w:tl2br w:val="nil"/>
              <w:tr2bl w:val="nil"/>
            </w:tcBorders>
            <w:noWrap w:val="0"/>
            <w:tcMar>
              <w:left w:w="108" w:type="dxa"/>
              <w:right w:w="108" w:type="dxa"/>
            </w:tcMar>
            <w:vAlign w:val="center"/>
          </w:tcPr>
          <w:p>
            <w:pPr>
              <w:widowControl/>
              <w:spacing w:beforeLines="0" w:afterLines="0" w:line="300" w:lineRule="exact"/>
              <w:rPr>
                <w:rFonts w:hint="eastAsia" w:ascii="黑体" w:hAnsi="黑体" w:eastAsia="黑体"/>
                <w:kern w:val="0"/>
                <w:sz w:val="21"/>
                <w:szCs w:val="21"/>
              </w:rPr>
            </w:pPr>
            <w:r>
              <w:rPr>
                <w:rFonts w:hint="eastAsia" w:ascii="黑体" w:hAnsi="黑体" w:eastAsia="黑体"/>
                <w:kern w:val="0"/>
                <w:sz w:val="21"/>
                <w:szCs w:val="21"/>
              </w:rPr>
              <w:t>四、结转下年度继续办理</w:t>
            </w:r>
          </w:p>
        </w:tc>
        <w:tc>
          <w:tcPr>
            <w:tcW w:w="829" w:type="dxa"/>
            <w:tcBorders>
              <w:top w:val="single" w:color="auto" w:sz="4" w:space="0"/>
              <w:left w:val="single" w:color="auto" w:sz="4" w:space="0"/>
              <w:bottom w:val="single" w:color="auto" w:sz="8"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8" w:space="0"/>
              <w:right w:val="single" w:color="auto" w:sz="4" w:space="0"/>
              <w:tl2br w:val="nil"/>
              <w:tr2bl w:val="nil"/>
            </w:tcBorders>
            <w:noWrap w:val="0"/>
            <w:tcMar>
              <w:left w:w="108" w:type="dxa"/>
              <w:right w:w="108" w:type="dxa"/>
            </w:tcMar>
            <w:vAlign w:val="center"/>
          </w:tcPr>
          <w:p>
            <w:pPr>
              <w:widowControl/>
              <w:spacing w:beforeLines="0" w:after="180" w:afterLines="0" w:line="200" w:lineRule="exact"/>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8"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31" w:type="dxa"/>
            <w:tcBorders>
              <w:top w:val="single" w:color="auto" w:sz="4" w:space="0"/>
              <w:left w:val="single" w:color="auto" w:sz="4" w:space="0"/>
              <w:bottom w:val="single" w:color="auto" w:sz="8"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708" w:type="dxa"/>
            <w:tcBorders>
              <w:top w:val="single" w:color="auto" w:sz="4" w:space="0"/>
              <w:left w:val="single" w:color="auto" w:sz="4" w:space="0"/>
              <w:bottom w:val="single" w:color="auto" w:sz="8"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567" w:type="dxa"/>
            <w:tcBorders>
              <w:top w:val="single" w:color="auto" w:sz="4" w:space="0"/>
              <w:left w:val="single" w:color="auto" w:sz="4" w:space="0"/>
              <w:bottom w:val="single" w:color="auto" w:sz="8" w:space="0"/>
              <w:right w:val="single" w:color="auto" w:sz="4"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c>
          <w:tcPr>
            <w:tcW w:w="851" w:type="dxa"/>
            <w:tcBorders>
              <w:top w:val="single" w:color="auto" w:sz="4" w:space="0"/>
              <w:left w:val="single" w:color="auto" w:sz="4" w:space="0"/>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0</w:t>
            </w:r>
          </w:p>
        </w:tc>
      </w:tr>
    </w:tbl>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val="en-US" w:eastAsia="zh-CN"/>
        </w:rPr>
        <w:t>因</w:t>
      </w:r>
      <w:r>
        <w:rPr>
          <w:rFonts w:hint="eastAsia" w:ascii="黑体" w:hAnsi="黑体" w:eastAsia="黑体" w:cs="黑体"/>
          <w:sz w:val="32"/>
          <w:szCs w:val="32"/>
        </w:rPr>
        <w:t>政府信息公开</w:t>
      </w:r>
      <w:r>
        <w:rPr>
          <w:rFonts w:hint="eastAsia" w:ascii="黑体" w:hAnsi="黑体" w:eastAsia="黑体" w:cs="黑体"/>
          <w:sz w:val="32"/>
          <w:szCs w:val="32"/>
          <w:lang w:val="en-US" w:eastAsia="zh-CN"/>
        </w:rPr>
        <w:t>被申请</w:t>
      </w:r>
      <w:r>
        <w:rPr>
          <w:rFonts w:hint="eastAsia" w:ascii="黑体" w:hAnsi="黑体" w:eastAsia="黑体" w:cs="黑体"/>
          <w:sz w:val="32"/>
          <w:szCs w:val="32"/>
        </w:rPr>
        <w:t>行政复议、</w:t>
      </w:r>
      <w:r>
        <w:rPr>
          <w:rFonts w:hint="eastAsia" w:ascii="黑体" w:hAnsi="黑体" w:eastAsia="黑体" w:cs="黑体"/>
          <w:sz w:val="32"/>
          <w:szCs w:val="32"/>
          <w:lang w:val="en-US" w:eastAsia="zh-CN"/>
        </w:rPr>
        <w:t>提起</w:t>
      </w:r>
      <w:r>
        <w:rPr>
          <w:rFonts w:hint="eastAsia" w:ascii="黑体" w:hAnsi="黑体" w:eastAsia="黑体" w:cs="黑体"/>
          <w:sz w:val="32"/>
          <w:szCs w:val="32"/>
        </w:rPr>
        <w:t>行政诉讼情况</w:t>
      </w:r>
    </w:p>
    <w:tbl>
      <w:tblPr>
        <w:tblStyle w:val="4"/>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jc w:val="center"/>
              <w:rPr>
                <w:rFonts w:hint="eastAsia" w:ascii="黑体" w:hAnsi="黑体" w:eastAsia="黑体"/>
                <w:sz w:val="21"/>
                <w:szCs w:val="22"/>
              </w:rPr>
            </w:pPr>
            <w:r>
              <w:rPr>
                <w:rFonts w:hint="eastAsia"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jc w:val="center"/>
              <w:rPr>
                <w:rFonts w:hint="eastAsia" w:ascii="黑体" w:hAnsi="黑体" w:eastAsia="黑体"/>
                <w:sz w:val="21"/>
                <w:szCs w:val="22"/>
              </w:rPr>
            </w:pPr>
            <w:r>
              <w:rPr>
                <w:rFonts w:hint="eastAsia" w:ascii="黑体" w:hAnsi="黑体" w:eastAsia="黑体"/>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149" w:leftChars="-71" w:right="-170" w:rightChars="-81"/>
              <w:jc w:val="center"/>
              <w:rPr>
                <w:rFonts w:hint="eastAsia" w:ascii="黑体" w:hAnsi="黑体" w:eastAsia="黑体"/>
                <w:kern w:val="0"/>
                <w:sz w:val="20"/>
                <w:szCs w:val="20"/>
              </w:rPr>
            </w:pPr>
            <w:r>
              <w:rPr>
                <w:rFonts w:hint="eastAsia" w:ascii="黑体" w:hAnsi="黑体" w:eastAsia="黑体"/>
                <w:kern w:val="0"/>
                <w:sz w:val="20"/>
                <w:szCs w:val="20"/>
              </w:rPr>
              <w:t>结果</w:t>
            </w:r>
          </w:p>
          <w:p>
            <w:pPr>
              <w:widowControl/>
              <w:spacing w:beforeLines="0" w:afterLines="0"/>
              <w:ind w:left="-149" w:leftChars="-71" w:right="-170" w:rightChars="-81"/>
              <w:jc w:val="center"/>
              <w:rPr>
                <w:rFonts w:hint="eastAsia" w:ascii="黑体" w:hAnsi="黑体" w:eastAsia="黑体"/>
                <w:sz w:val="21"/>
                <w:szCs w:val="22"/>
              </w:rPr>
            </w:pPr>
            <w:r>
              <w:rPr>
                <w:rFonts w:hint="eastAsia"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43" w:leftChars="-21" w:right="-132" w:rightChars="-63" w:hanging="1"/>
              <w:jc w:val="center"/>
              <w:rPr>
                <w:rFonts w:hint="eastAsia" w:ascii="黑体" w:hAnsi="黑体" w:eastAsia="黑体"/>
                <w:sz w:val="21"/>
                <w:szCs w:val="22"/>
              </w:rPr>
            </w:pPr>
            <w:r>
              <w:rPr>
                <w:rFonts w:hint="eastAsia"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82" w:leftChars="-39" w:right="-97" w:rightChars="-46"/>
              <w:jc w:val="center"/>
              <w:rPr>
                <w:rFonts w:hint="eastAsia" w:ascii="黑体" w:hAnsi="黑体" w:eastAsia="黑体"/>
                <w:sz w:val="21"/>
                <w:szCs w:val="22"/>
              </w:rPr>
            </w:pPr>
            <w:r>
              <w:rPr>
                <w:rFonts w:hint="eastAsia"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118" w:leftChars="-56" w:right="-118" w:rightChars="-56"/>
              <w:jc w:val="center"/>
              <w:rPr>
                <w:rFonts w:hint="eastAsia" w:ascii="黑体" w:hAnsi="黑体" w:eastAsia="黑体"/>
                <w:kern w:val="0"/>
                <w:sz w:val="20"/>
                <w:szCs w:val="20"/>
              </w:rPr>
            </w:pPr>
            <w:r>
              <w:rPr>
                <w:rFonts w:hint="eastAsia" w:ascii="黑体" w:hAnsi="黑体" w:eastAsia="黑体"/>
                <w:kern w:val="0"/>
                <w:sz w:val="20"/>
                <w:szCs w:val="20"/>
              </w:rPr>
              <w:t>尚未</w:t>
            </w:r>
          </w:p>
          <w:p>
            <w:pPr>
              <w:widowControl/>
              <w:spacing w:beforeLines="0" w:afterLines="0"/>
              <w:ind w:left="-118" w:leftChars="-56" w:right="-118" w:rightChars="-56"/>
              <w:jc w:val="center"/>
              <w:rPr>
                <w:rFonts w:hint="eastAsia" w:ascii="黑体" w:hAnsi="黑体" w:eastAsia="黑体"/>
                <w:sz w:val="21"/>
                <w:szCs w:val="22"/>
              </w:rPr>
            </w:pPr>
            <w:r>
              <w:rPr>
                <w:rFonts w:hint="eastAsia"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line="320" w:lineRule="exact"/>
              <w:jc w:val="center"/>
              <w:rPr>
                <w:rFonts w:hint="eastAsia" w:ascii="黑体" w:hAnsi="黑体" w:eastAsia="黑体"/>
                <w:kern w:val="0"/>
                <w:sz w:val="20"/>
                <w:szCs w:val="20"/>
              </w:rPr>
            </w:pPr>
            <w:r>
              <w:rPr>
                <w:rFonts w:hint="eastAsia" w:ascii="黑体" w:hAnsi="黑体" w:eastAsia="黑体"/>
                <w:kern w:val="0"/>
                <w:sz w:val="20"/>
                <w:szCs w:val="20"/>
              </w:rPr>
              <w:t>总</w:t>
            </w:r>
          </w:p>
          <w:p>
            <w:pPr>
              <w:widowControl/>
              <w:spacing w:beforeLines="0" w:afterLines="0" w:line="320" w:lineRule="exact"/>
              <w:jc w:val="center"/>
              <w:rPr>
                <w:rFonts w:hint="eastAsia" w:ascii="黑体" w:hAnsi="黑体" w:eastAsia="黑体"/>
                <w:sz w:val="21"/>
                <w:szCs w:val="22"/>
              </w:rPr>
            </w:pPr>
            <w:r>
              <w:rPr>
                <w:rFonts w:hint="eastAsia"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jc w:val="center"/>
              <w:rPr>
                <w:rFonts w:hint="eastAsia" w:ascii="黑体" w:hAnsi="黑体" w:eastAsia="黑体"/>
                <w:sz w:val="21"/>
                <w:szCs w:val="22"/>
              </w:rPr>
            </w:pPr>
            <w:r>
              <w:rPr>
                <w:rFonts w:hint="eastAsia"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jc w:val="center"/>
              <w:rPr>
                <w:rFonts w:hint="eastAsia" w:ascii="黑体" w:hAnsi="黑体" w:eastAsia="黑体"/>
                <w:sz w:val="21"/>
                <w:szCs w:val="22"/>
              </w:rPr>
            </w:pPr>
            <w:bookmarkStart w:id="9" w:name="_Hlk67039688"/>
            <w:r>
              <w:rPr>
                <w:rFonts w:hint="eastAsia" w:ascii="黑体" w:hAnsi="黑体" w:eastAsia="黑体"/>
                <w:kern w:val="0"/>
                <w:sz w:val="20"/>
                <w:szCs w:val="20"/>
              </w:rPr>
              <w:t>复议后起诉</w:t>
            </w:r>
            <w:bookmarkEnd w:id="9"/>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黑体" w:hAnsi="黑体" w:eastAsia="黑体"/>
                <w:sz w:val="24"/>
                <w:szCs w:val="22"/>
              </w:rPr>
            </w:pPr>
          </w:p>
        </w:tc>
        <w:tc>
          <w:tcPr>
            <w:tcW w:w="604" w:type="dxa"/>
            <w:vMerge w:val="continue"/>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黑体" w:hAnsi="黑体" w:eastAsia="黑体"/>
                <w:sz w:val="24"/>
                <w:szCs w:val="22"/>
              </w:rPr>
            </w:pPr>
          </w:p>
        </w:tc>
        <w:tc>
          <w:tcPr>
            <w:tcW w:w="604" w:type="dxa"/>
            <w:vMerge w:val="continue"/>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黑体" w:hAnsi="黑体" w:eastAsia="黑体"/>
                <w:sz w:val="24"/>
                <w:szCs w:val="22"/>
              </w:rPr>
            </w:pPr>
          </w:p>
        </w:tc>
        <w:tc>
          <w:tcPr>
            <w:tcW w:w="604" w:type="dxa"/>
            <w:vMerge w:val="continue"/>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黑体" w:hAnsi="黑体" w:eastAsia="黑体"/>
                <w:sz w:val="24"/>
                <w:szCs w:val="22"/>
              </w:rPr>
            </w:pPr>
          </w:p>
        </w:tc>
        <w:tc>
          <w:tcPr>
            <w:tcW w:w="658" w:type="dxa"/>
            <w:vMerge w:val="continue"/>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黑体" w:hAnsi="黑体" w:eastAsia="黑体"/>
                <w:sz w:val="24"/>
                <w:szCs w:val="22"/>
              </w:rPr>
            </w:pPr>
          </w:p>
        </w:tc>
        <w:tc>
          <w:tcPr>
            <w:tcW w:w="55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105" w:leftChars="-50" w:right="-126" w:rightChars="-60"/>
              <w:jc w:val="center"/>
              <w:rPr>
                <w:rFonts w:hint="eastAsia" w:ascii="黑体" w:hAnsi="黑体" w:eastAsia="黑体"/>
                <w:sz w:val="21"/>
                <w:szCs w:val="22"/>
              </w:rPr>
            </w:pPr>
            <w:r>
              <w:rPr>
                <w:rFonts w:hint="eastAsia" w:ascii="黑体" w:hAnsi="黑体" w:eastAsia="黑体"/>
                <w:kern w:val="0"/>
                <w:sz w:val="20"/>
                <w:szCs w:val="20"/>
              </w:rPr>
              <w:t>结果维持</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86" w:leftChars="-41" w:right="-88" w:rightChars="-42"/>
              <w:jc w:val="center"/>
              <w:rPr>
                <w:rFonts w:hint="eastAsia" w:ascii="黑体" w:hAnsi="黑体" w:eastAsia="黑体"/>
                <w:sz w:val="21"/>
                <w:szCs w:val="22"/>
              </w:rPr>
            </w:pPr>
            <w:r>
              <w:rPr>
                <w:rFonts w:hint="eastAsia"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126" w:leftChars="-60" w:right="-136" w:rightChars="-65"/>
              <w:jc w:val="center"/>
              <w:rPr>
                <w:rFonts w:hint="eastAsia" w:ascii="黑体" w:hAnsi="黑体" w:eastAsia="黑体"/>
                <w:kern w:val="0"/>
                <w:sz w:val="20"/>
                <w:szCs w:val="20"/>
              </w:rPr>
            </w:pPr>
            <w:r>
              <w:rPr>
                <w:rFonts w:hint="eastAsia" w:ascii="黑体" w:hAnsi="黑体" w:eastAsia="黑体"/>
                <w:kern w:val="0"/>
                <w:sz w:val="20"/>
                <w:szCs w:val="20"/>
              </w:rPr>
              <w:t>其他</w:t>
            </w:r>
          </w:p>
          <w:p>
            <w:pPr>
              <w:widowControl/>
              <w:spacing w:beforeLines="0" w:afterLines="0"/>
              <w:ind w:left="-126" w:leftChars="-60" w:right="-136" w:rightChars="-65"/>
              <w:jc w:val="center"/>
              <w:rPr>
                <w:rFonts w:hint="eastAsia" w:ascii="黑体" w:hAnsi="黑体" w:eastAsia="黑体"/>
                <w:sz w:val="21"/>
                <w:szCs w:val="22"/>
              </w:rPr>
            </w:pPr>
            <w:r>
              <w:rPr>
                <w:rFonts w:hint="eastAsia"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164" w:leftChars="-78" w:right="-153" w:rightChars="-73"/>
              <w:jc w:val="center"/>
              <w:rPr>
                <w:rFonts w:hint="eastAsia" w:ascii="黑体" w:hAnsi="黑体" w:eastAsia="黑体"/>
                <w:kern w:val="0"/>
                <w:sz w:val="20"/>
                <w:szCs w:val="20"/>
              </w:rPr>
            </w:pPr>
            <w:r>
              <w:rPr>
                <w:rFonts w:hint="eastAsia" w:ascii="黑体" w:hAnsi="黑体" w:eastAsia="黑体"/>
                <w:kern w:val="0"/>
                <w:sz w:val="20"/>
                <w:szCs w:val="20"/>
              </w:rPr>
              <w:t>尚未</w:t>
            </w:r>
          </w:p>
          <w:p>
            <w:pPr>
              <w:widowControl/>
              <w:spacing w:beforeLines="0" w:afterLines="0"/>
              <w:ind w:left="-164" w:leftChars="-78" w:right="-153" w:rightChars="-73"/>
              <w:jc w:val="center"/>
              <w:rPr>
                <w:rFonts w:hint="eastAsia" w:ascii="黑体" w:hAnsi="黑体" w:eastAsia="黑体"/>
                <w:sz w:val="21"/>
                <w:szCs w:val="22"/>
              </w:rPr>
            </w:pPr>
            <w:r>
              <w:rPr>
                <w:rFonts w:hint="eastAsia"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jc w:val="center"/>
              <w:rPr>
                <w:rFonts w:hint="eastAsia" w:ascii="黑体" w:hAnsi="黑体" w:eastAsia="黑体"/>
                <w:sz w:val="21"/>
                <w:szCs w:val="22"/>
              </w:rPr>
            </w:pPr>
            <w:r>
              <w:rPr>
                <w:rFonts w:hint="eastAsia"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99" w:leftChars="-47" w:right="-78" w:rightChars="-37"/>
              <w:jc w:val="center"/>
              <w:rPr>
                <w:rFonts w:hint="eastAsia" w:ascii="黑体" w:hAnsi="黑体" w:eastAsia="黑体"/>
                <w:sz w:val="21"/>
                <w:szCs w:val="22"/>
              </w:rPr>
            </w:pPr>
            <w:r>
              <w:rPr>
                <w:rFonts w:hint="eastAsia"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136" w:leftChars="-65" w:right="-124" w:rightChars="-59"/>
              <w:jc w:val="center"/>
              <w:rPr>
                <w:rFonts w:hint="eastAsia" w:ascii="黑体" w:hAnsi="黑体" w:eastAsia="黑体"/>
                <w:kern w:val="0"/>
                <w:sz w:val="20"/>
                <w:szCs w:val="20"/>
              </w:rPr>
            </w:pPr>
            <w:r>
              <w:rPr>
                <w:rFonts w:hint="eastAsia" w:ascii="黑体" w:hAnsi="黑体" w:eastAsia="黑体"/>
                <w:kern w:val="0"/>
                <w:sz w:val="20"/>
                <w:szCs w:val="20"/>
              </w:rPr>
              <w:t>结果</w:t>
            </w:r>
          </w:p>
          <w:p>
            <w:pPr>
              <w:widowControl/>
              <w:spacing w:beforeLines="0" w:afterLines="0"/>
              <w:ind w:left="-136" w:leftChars="-65" w:right="-124" w:rightChars="-59"/>
              <w:jc w:val="center"/>
              <w:rPr>
                <w:rFonts w:hint="eastAsia" w:ascii="黑体" w:hAnsi="黑体" w:eastAsia="黑体"/>
                <w:sz w:val="21"/>
                <w:szCs w:val="22"/>
              </w:rPr>
            </w:pPr>
            <w:r>
              <w:rPr>
                <w:rFonts w:hint="eastAsia"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173" w:leftChars="-83" w:right="-134" w:rightChars="-64" w:hanging="1"/>
              <w:jc w:val="center"/>
              <w:rPr>
                <w:rFonts w:hint="eastAsia" w:ascii="黑体" w:hAnsi="黑体" w:eastAsia="黑体"/>
                <w:kern w:val="0"/>
                <w:sz w:val="20"/>
                <w:szCs w:val="20"/>
              </w:rPr>
            </w:pPr>
            <w:r>
              <w:rPr>
                <w:rFonts w:hint="eastAsia" w:ascii="黑体" w:hAnsi="黑体" w:eastAsia="黑体"/>
                <w:kern w:val="0"/>
                <w:sz w:val="20"/>
                <w:szCs w:val="20"/>
              </w:rPr>
              <w:t>其他</w:t>
            </w:r>
          </w:p>
          <w:p>
            <w:pPr>
              <w:widowControl/>
              <w:spacing w:beforeLines="0" w:afterLines="0"/>
              <w:ind w:left="-173" w:leftChars="-83" w:right="-134" w:rightChars="-64" w:hanging="1"/>
              <w:jc w:val="center"/>
              <w:rPr>
                <w:rFonts w:hint="eastAsia" w:ascii="黑体" w:hAnsi="黑体" w:eastAsia="黑体"/>
                <w:sz w:val="21"/>
                <w:szCs w:val="22"/>
              </w:rPr>
            </w:pPr>
            <w:r>
              <w:rPr>
                <w:rFonts w:hint="eastAsia"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ind w:left="-67" w:leftChars="-33" w:right="-105" w:rightChars="-50" w:hanging="2" w:hangingChars="1"/>
              <w:jc w:val="center"/>
              <w:rPr>
                <w:rFonts w:hint="eastAsia" w:ascii="黑体" w:hAnsi="黑体" w:eastAsia="黑体"/>
                <w:sz w:val="21"/>
                <w:szCs w:val="22"/>
              </w:rPr>
            </w:pPr>
            <w:r>
              <w:rPr>
                <w:rFonts w:hint="eastAsia"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Lines="0"/>
              <w:jc w:val="center"/>
              <w:rPr>
                <w:rFonts w:hint="eastAsia" w:ascii="黑体" w:hAnsi="黑体" w:eastAsia="黑体"/>
                <w:sz w:val="21"/>
                <w:szCs w:val="22"/>
              </w:rPr>
            </w:pPr>
            <w:r>
              <w:rPr>
                <w:rFonts w:hint="eastAsia" w:ascii="黑体" w:hAnsi="黑体" w:eastAsia="黑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4"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4"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4"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58"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55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6"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c>
          <w:tcPr>
            <w:tcW w:w="606" w:type="dxa"/>
            <w:tcBorders>
              <w:top w:val="nil"/>
              <w:left w:val="nil"/>
              <w:bottom w:val="single" w:color="auto" w:sz="8" w:space="0"/>
              <w:right w:val="single" w:color="auto" w:sz="8" w:space="0"/>
              <w:tl2br w:val="nil"/>
              <w:tr2bl w:val="nil"/>
            </w:tcBorders>
            <w:noWrap w:val="0"/>
            <w:tcMar>
              <w:left w:w="108" w:type="dxa"/>
              <w:right w:w="108" w:type="dxa"/>
            </w:tcMar>
            <w:vAlign w:val="center"/>
          </w:tcPr>
          <w:p>
            <w:pPr>
              <w:widowControl/>
              <w:spacing w:beforeLines="0" w:after="180" w:afterLines="0"/>
              <w:jc w:val="center"/>
              <w:rPr>
                <w:rFonts w:hint="eastAsia" w:ascii="Times New Roman" w:hAnsi="Times New Roman" w:eastAsiaTheme="minorEastAsia"/>
                <w:sz w:val="21"/>
                <w:szCs w:val="22"/>
                <w:lang w:val="en-US" w:eastAsia="zh-CN"/>
              </w:rPr>
            </w:pPr>
            <w:r>
              <w:rPr>
                <w:rFonts w:hint="eastAsia" w:ascii="Times New Roman" w:hAnsi="Times New Roman"/>
                <w:sz w:val="21"/>
                <w:szCs w:val="22"/>
                <w:lang w:val="en-US" w:eastAsia="zh-CN"/>
              </w:rPr>
              <w:t>0</w:t>
            </w:r>
          </w:p>
        </w:tc>
      </w:tr>
    </w:tbl>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1"/>
          <w:szCs w:val="31"/>
          <w:lang w:val="en-US" w:eastAsia="zh-CN"/>
        </w:rPr>
        <w:t>202</w:t>
      </w:r>
      <w:r>
        <w:rPr>
          <w:rFonts w:hint="eastAsia" w:ascii="Times New Roman" w:hAnsi="Times New Roman" w:eastAsia="仿宋_GB2312" w:cs="Times New Roman"/>
          <w:sz w:val="31"/>
          <w:szCs w:val="31"/>
          <w:lang w:val="en-US" w:eastAsia="zh-CN"/>
        </w:rPr>
        <w:t>2</w:t>
      </w:r>
      <w:r>
        <w:rPr>
          <w:rFonts w:hint="eastAsia" w:ascii="仿宋_GB2312" w:hAnsi="微软雅黑" w:eastAsia="仿宋_GB2312" w:cs="仿宋_GB2312"/>
          <w:sz w:val="31"/>
          <w:szCs w:val="31"/>
          <w:lang w:val="en-US" w:eastAsia="zh-CN"/>
        </w:rPr>
        <w:t>年，烟店镇在政务信息公开方面存在以下问题：一是</w:t>
      </w:r>
      <w:r>
        <w:rPr>
          <w:rFonts w:hint="eastAsia" w:ascii="仿宋_GB2312" w:hAnsi="微软雅黑" w:eastAsia="仿宋_GB2312" w:cs="仿宋_GB2312"/>
          <w:sz w:val="31"/>
          <w:szCs w:val="31"/>
        </w:rPr>
        <w:t>机关干部主动参与政府信息公开工作的意识不高，对该项工作重要性的认识还有待提升。</w:t>
      </w:r>
      <w:r>
        <w:rPr>
          <w:rFonts w:hint="eastAsia" w:ascii="仿宋_GB2312" w:hAnsi="微软雅黑" w:eastAsia="仿宋_GB2312" w:cs="仿宋_GB2312"/>
          <w:sz w:val="31"/>
          <w:szCs w:val="31"/>
          <w:lang w:val="en-US" w:eastAsia="zh-CN"/>
        </w:rPr>
        <w:t>二是公开内容不够全面、公开效率不够高。针对存在的问题，下一步工作措施如下：一是广泛宣传政务公开工作，形成全镇领导干部齐参与的工作的氛围，并开展业务培训加强信息工作队伍建设，提高业务水平。二是进一步梳理政府信息，对原有的政府信息公开目录进行补充完善，保证公开信息的完整性和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lang w:val="en-US" w:eastAsia="zh-CN"/>
        </w:rPr>
        <w:t>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烟店镇人民政府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20</w:t>
      </w:r>
      <w:bookmarkStart w:id="10" w:name="_GoBack"/>
      <w:bookmarkEnd w:id="10"/>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3NmQ2NWNmOWEzYWZlNjA5Y2I2NTk5MDYwMzhlZDAifQ=="/>
  </w:docVars>
  <w:rsids>
    <w:rsidRoot w:val="00172A27"/>
    <w:rsid w:val="03077DA6"/>
    <w:rsid w:val="033947B4"/>
    <w:rsid w:val="048F43A9"/>
    <w:rsid w:val="05DD06BF"/>
    <w:rsid w:val="0EB65F51"/>
    <w:rsid w:val="1A3732B3"/>
    <w:rsid w:val="1AF247E3"/>
    <w:rsid w:val="1DE3308C"/>
    <w:rsid w:val="21022930"/>
    <w:rsid w:val="286140D8"/>
    <w:rsid w:val="2B590EDD"/>
    <w:rsid w:val="2D74317C"/>
    <w:rsid w:val="2DE81100"/>
    <w:rsid w:val="2F1C72B3"/>
    <w:rsid w:val="47B65380"/>
    <w:rsid w:val="48A34BC3"/>
    <w:rsid w:val="499F0CC3"/>
    <w:rsid w:val="4FAE11F7"/>
    <w:rsid w:val="4FB60766"/>
    <w:rsid w:val="511A58F1"/>
    <w:rsid w:val="51C96BBE"/>
    <w:rsid w:val="58873140"/>
    <w:rsid w:val="595C5CE4"/>
    <w:rsid w:val="69486D80"/>
    <w:rsid w:val="6AA54471"/>
    <w:rsid w:val="6B1860D6"/>
    <w:rsid w:val="717F36A0"/>
    <w:rsid w:val="725230E2"/>
    <w:rsid w:val="76D37824"/>
    <w:rsid w:val="779501CD"/>
    <w:rsid w:val="78666E74"/>
    <w:rsid w:val="7E68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2219</Words>
  <Characters>2287</Characters>
  <Lines>1</Lines>
  <Paragraphs>1</Paragraphs>
  <TotalTime>18</TotalTime>
  <ScaleCrop>false</ScaleCrop>
  <LinksUpToDate>false</LinksUpToDate>
  <CharactersWithSpaces>2296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2022-01-07T05:33:00Z</dcterms:created>
  <dc:creator>S_琦~七七</dc:creator>
  <cp:lastModifiedBy>puddin</cp:lastModifiedBy>
  <dcterms:modified xsi:type="dcterms:W3CDTF">2023-01-20T03:03:50Z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4B4D0D9DE5DE4380ABFF416A75353ECE</vt:lpwstr>
  </property>
</Properties>
</file>