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color w:val="auto"/>
          <w:sz w:val="44"/>
          <w:szCs w:val="44"/>
        </w:rPr>
      </w:pPr>
      <w:r>
        <w:rPr>
          <w:rFonts w:hint="eastAsia" w:ascii="方正小标宋简体" w:hAnsi="方正小标宋简体" w:eastAsia="方正小标宋简体" w:cs="方正小标宋简体"/>
          <w:b w:val="0"/>
          <w:color w:val="auto"/>
          <w:sz w:val="44"/>
          <w:szCs w:val="44"/>
        </w:rPr>
        <w:t>临清市康庄镇人民政府202</w:t>
      </w:r>
      <w:r>
        <w:rPr>
          <w:rFonts w:hint="eastAsia" w:ascii="方正小标宋简体" w:hAnsi="方正小标宋简体" w:eastAsia="方正小标宋简体" w:cs="方正小标宋简体"/>
          <w:b w:val="0"/>
          <w:color w:val="auto"/>
          <w:sz w:val="44"/>
          <w:szCs w:val="44"/>
          <w:lang w:val="en-US" w:eastAsia="zh-CN"/>
        </w:rPr>
        <w:t>2</w:t>
      </w:r>
      <w:r>
        <w:rPr>
          <w:rFonts w:hint="eastAsia" w:ascii="方正小标宋简体" w:hAnsi="方正小标宋简体" w:eastAsia="方正小标宋简体" w:cs="方正小标宋简体"/>
          <w:b w:val="0"/>
          <w:color w:val="auto"/>
          <w:sz w:val="44"/>
          <w:szCs w:val="44"/>
        </w:rPr>
        <w:t>年政府信息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color w:val="auto"/>
          <w:sz w:val="44"/>
          <w:szCs w:val="44"/>
        </w:rPr>
      </w:pPr>
      <w:r>
        <w:rPr>
          <w:rFonts w:hint="eastAsia" w:ascii="方正小标宋简体" w:hAnsi="方正小标宋简体" w:eastAsia="方正小标宋简体" w:cs="方正小标宋简体"/>
          <w:b w:val="0"/>
          <w:color w:val="auto"/>
          <w:sz w:val="44"/>
          <w:szCs w:val="44"/>
        </w:rPr>
        <w:t>公开工作年度报告</w:t>
      </w:r>
      <w:bookmarkStart w:id="9" w:name="_GoBack"/>
      <w:bookmarkEnd w:id="9"/>
    </w:p>
    <w:p>
      <w:pPr>
        <w:numPr>
          <w:ilvl w:val="0"/>
          <w:numId w:val="0"/>
        </w:numPr>
        <w:rPr>
          <w:rFonts w:ascii="黑体" w:hAnsi="宋体" w:eastAsia="黑体" w:cs="黑体"/>
          <w:sz w:val="32"/>
          <w:szCs w:val="32"/>
          <w:shd w:val="clear" w:fill="FFFFFF"/>
        </w:rPr>
      </w:pPr>
      <w:r>
        <w:rPr>
          <w:rFonts w:hint="eastAsia" w:ascii="黑体" w:hAnsi="宋体" w:eastAsia="黑体" w:cs="黑体"/>
          <w:sz w:val="32"/>
          <w:szCs w:val="32"/>
          <w:shd w:val="clear" w:fill="FFFFFF"/>
          <w:lang w:eastAsia="zh-CN"/>
        </w:rPr>
        <w:t>一、</w:t>
      </w:r>
      <w:r>
        <w:rPr>
          <w:rFonts w:ascii="黑体" w:hAnsi="宋体" w:eastAsia="黑体" w:cs="黑体"/>
          <w:sz w:val="32"/>
          <w:szCs w:val="32"/>
          <w:shd w:val="clear" w:fill="FFFFFF"/>
        </w:rPr>
        <w:t>总体情况</w:t>
      </w:r>
    </w:p>
    <w:p>
      <w:pPr>
        <w:numPr>
          <w:ilvl w:val="0"/>
          <w:numId w:val="0"/>
        </w:numPr>
        <w:ind w:firstLine="640" w:firstLineChars="200"/>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2022年以来，康庄镇政府坚持习近平新时代中国特色社会主义思想为指导，认真贯彻落实市委、市政府关于政府信息公开工作的部署要求，紧紧围绕全镇工作和公众期盼，坚持“以公开为常态、不公开为例外”，及时发布各类政府信息，主动回应社会关切，展现工作成效，做好政策解读工作，有力地促进政府信息公开工作的开展，切实增强群众满意度和获得感。</w:t>
      </w:r>
    </w:p>
    <w:p>
      <w:pPr>
        <w:numPr>
          <w:ilvl w:val="0"/>
          <w:numId w:val="0"/>
        </w:numPr>
        <w:ind w:firstLine="643" w:firstLineChars="200"/>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b/>
          <w:bCs/>
          <w:sz w:val="32"/>
          <w:szCs w:val="32"/>
          <w:shd w:val="clear" w:fill="FFFFFF"/>
        </w:rPr>
        <w:t>（一）突出重点领域信息公开。</w:t>
      </w:r>
      <w:r>
        <w:rPr>
          <w:rFonts w:hint="eastAsia" w:ascii="仿宋_GB2312" w:hAnsi="仿宋_GB2312" w:eastAsia="仿宋_GB2312" w:cs="仿宋_GB2312"/>
          <w:sz w:val="32"/>
          <w:szCs w:val="32"/>
          <w:shd w:val="clear" w:fill="FFFFFF"/>
        </w:rPr>
        <w:t>我镇坚持按照及时准确、公开透明的要求上报和发布权威信息，完善政府信息主动公开、信息公开申请受理、保密审查、工作考核、年度工作报告等制度，对群众关心关注的问题及时更新反馈相关信息。</w:t>
      </w:r>
    </w:p>
    <w:p>
      <w:pPr>
        <w:numPr>
          <w:ilvl w:val="0"/>
          <w:numId w:val="0"/>
        </w:numPr>
        <w:ind w:firstLine="643" w:firstLineChars="200"/>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b/>
          <w:bCs/>
          <w:sz w:val="32"/>
          <w:szCs w:val="32"/>
          <w:shd w:val="clear" w:fill="FFFFFF"/>
        </w:rPr>
        <w:t>（二）加大依法行政公开力度。</w:t>
      </w:r>
      <w:r>
        <w:rPr>
          <w:rFonts w:hint="eastAsia" w:ascii="仿宋_GB2312" w:hAnsi="仿宋_GB2312" w:eastAsia="仿宋_GB2312" w:cs="仿宋_GB2312"/>
          <w:sz w:val="32"/>
          <w:szCs w:val="32"/>
          <w:shd w:val="clear" w:fill="FFFFFF"/>
        </w:rPr>
        <w:t>我镇制定的相关政策，及时完善上传信息公开指南和信息公开制度，进一步做好各类事项办理结果公开工作，对政府信息除依法需要保密的外及时公开，充分保障群众的知情权，2022年共公开政务信息65条。</w:t>
      </w:r>
    </w:p>
    <w:p>
      <w:pPr>
        <w:numPr>
          <w:ilvl w:val="0"/>
          <w:numId w:val="0"/>
        </w:numPr>
        <w:ind w:firstLine="643" w:firstLineChars="200"/>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b/>
          <w:bCs/>
          <w:sz w:val="32"/>
          <w:szCs w:val="32"/>
          <w:shd w:val="clear" w:fill="FFFFFF"/>
        </w:rPr>
        <w:t>（三）积极回应热点政务舆情。</w:t>
      </w:r>
      <w:r>
        <w:rPr>
          <w:rFonts w:hint="eastAsia" w:ascii="仿宋_GB2312" w:hAnsi="仿宋_GB2312" w:eastAsia="仿宋_GB2312" w:cs="仿宋_GB2312"/>
          <w:sz w:val="32"/>
          <w:szCs w:val="32"/>
          <w:shd w:val="clear" w:fill="FFFFFF"/>
        </w:rPr>
        <w:t>我镇开展了政务舆情检测和分析工作，做好民生方面的热点舆情回应，讲清楚问题成因、解决方案和制约因素等，更好引导社会预期。2022年市长信箱反馈问题0条。</w:t>
      </w:r>
    </w:p>
    <w:p>
      <w:pPr>
        <w:numPr>
          <w:ilvl w:val="0"/>
          <w:numId w:val="0"/>
        </w:numPr>
        <w:ind w:firstLine="643" w:firstLineChars="200"/>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b/>
          <w:bCs/>
          <w:sz w:val="32"/>
          <w:szCs w:val="32"/>
          <w:shd w:val="clear" w:fill="FFFFFF"/>
        </w:rPr>
        <w:t>（四）按照要求及时更新信息。</w:t>
      </w:r>
      <w:r>
        <w:rPr>
          <w:rFonts w:hint="eastAsia" w:ascii="仿宋_GB2312" w:hAnsi="仿宋_GB2312" w:eastAsia="仿宋_GB2312" w:cs="仿宋_GB2312"/>
          <w:sz w:val="32"/>
          <w:szCs w:val="32"/>
          <w:shd w:val="clear" w:fill="FFFFFF"/>
        </w:rPr>
        <w:t>我镇严格按照聊城市政府信息主动公开目录责任分工表和临清市人民政府办公室《关于政府网站和政务新媒体发布内容有关事项的通知》的要求，认真做好政府信息主动公开基本目录建设，确保不出现有目录无内容现象，并且及时更新各类信息，保障信息公开的及时性、有效性。</w:t>
      </w:r>
    </w:p>
    <w:p>
      <w:pPr>
        <w:numPr>
          <w:ilvl w:val="0"/>
          <w:numId w:val="0"/>
        </w:numPr>
        <w:ind w:firstLine="643" w:firstLineChars="200"/>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b/>
          <w:bCs/>
          <w:sz w:val="32"/>
          <w:szCs w:val="32"/>
          <w:shd w:val="clear" w:fill="FFFFFF"/>
        </w:rPr>
        <w:t>（五）依申请公开。</w:t>
      </w:r>
      <w:r>
        <w:rPr>
          <w:rFonts w:hint="eastAsia" w:ascii="仿宋_GB2312" w:hAnsi="仿宋_GB2312" w:eastAsia="仿宋_GB2312" w:cs="仿宋_GB2312"/>
          <w:sz w:val="32"/>
          <w:szCs w:val="32"/>
          <w:shd w:val="clear" w:fill="FFFFFF"/>
        </w:rPr>
        <w:t>根据《条例》和《2022年临清市政务公开工作要点》，明确接收、登记、办理、调查、答复等各环节标准和责任分工，制定了统一格式答复书样本。确保在法定时限内以严谨规范形式进行答复。</w:t>
      </w:r>
    </w:p>
    <w:p>
      <w:pPr>
        <w:numPr>
          <w:ilvl w:val="0"/>
          <w:numId w:val="0"/>
        </w:numPr>
        <w:ind w:firstLine="643" w:firstLineChars="200"/>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b/>
          <w:bCs/>
          <w:sz w:val="32"/>
          <w:szCs w:val="32"/>
          <w:shd w:val="clear" w:fill="FFFFFF"/>
        </w:rPr>
        <w:t>（六）政务信息公开平台建设。</w:t>
      </w:r>
      <w:r>
        <w:rPr>
          <w:rFonts w:hint="eastAsia" w:ascii="仿宋_GB2312" w:hAnsi="仿宋_GB2312" w:eastAsia="仿宋_GB2312" w:cs="仿宋_GB2312"/>
          <w:sz w:val="32"/>
          <w:szCs w:val="32"/>
          <w:shd w:val="clear" w:fill="FFFFFF"/>
        </w:rPr>
        <w:t>临清市人民政府网站是康庄镇信息公开的第一平台，同时，注重提升政务新媒体发布时效，坚持移动优先策略，重要政务会议活动、通知公告、气象预警等信息当日发布，确保发布时效。</w:t>
      </w:r>
    </w:p>
    <w:p>
      <w:pPr>
        <w:numPr>
          <w:ilvl w:val="0"/>
          <w:numId w:val="0"/>
        </w:numPr>
        <w:ind w:firstLine="643" w:firstLineChars="200"/>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b/>
          <w:bCs/>
          <w:sz w:val="32"/>
          <w:szCs w:val="32"/>
          <w:shd w:val="clear" w:fill="FFFFFF"/>
        </w:rPr>
        <w:t>（七）监督保障。</w:t>
      </w:r>
      <w:r>
        <w:rPr>
          <w:rFonts w:hint="eastAsia" w:ascii="仿宋_GB2312" w:hAnsi="仿宋_GB2312" w:eastAsia="仿宋_GB2312" w:cs="仿宋_GB2312"/>
          <w:sz w:val="32"/>
          <w:szCs w:val="32"/>
          <w:shd w:val="clear" w:fill="FFFFFF"/>
        </w:rPr>
        <w:t>加强政务公开工作人员业务培训，进一步积极探索建立科学的考核评价体系，建立健全信息公开考核制度、政务公开社会民主评议制度，督促政务公开各项工作落到实处。做好保密审查工作、对出现失密泄密问题进行严格责任追究。2022年，康庄镇信息公开工作没有发生泄密事件和责任追究情况。</w:t>
      </w:r>
    </w:p>
    <w:p>
      <w:pPr>
        <w:numPr>
          <w:ilvl w:val="0"/>
          <w:numId w:val="0"/>
        </w:numPr>
        <w:ind w:firstLine="620" w:firstLineChars="200"/>
        <w:rPr>
          <w:rFonts w:hint="eastAsia" w:ascii="黑体" w:hAnsi="宋体" w:eastAsia="黑体" w:cs="黑体"/>
          <w:sz w:val="31"/>
          <w:szCs w:val="31"/>
          <w:shd w:val="clear" w:fill="FFFFFF"/>
        </w:rPr>
      </w:pPr>
      <w:r>
        <w:rPr>
          <w:rFonts w:hint="eastAsia" w:ascii="黑体" w:hAnsi="宋体" w:eastAsia="黑体" w:cs="黑体"/>
          <w:spacing w:val="0"/>
          <w:sz w:val="31"/>
          <w:szCs w:val="31"/>
          <w:shd w:val="clear" w:fill="FFFFFF"/>
        </w:rPr>
        <w:t>二、</w:t>
      </w:r>
      <w:r>
        <w:rPr>
          <w:rFonts w:hint="eastAsia" w:ascii="黑体" w:hAnsi="宋体" w:eastAsia="黑体" w:cs="黑体"/>
          <w:sz w:val="31"/>
          <w:szCs w:val="31"/>
          <w:shd w:val="clear" w:fill="FFFFFF"/>
        </w:rPr>
        <w:t>主动公开政府信息情况</w:t>
      </w:r>
    </w:p>
    <w:tbl>
      <w:tblPr>
        <w:tblStyle w:val="4"/>
        <w:tblW w:w="88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205"/>
        <w:gridCol w:w="2205"/>
        <w:gridCol w:w="2205"/>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jc w:val="center"/>
        </w:trPr>
        <w:tc>
          <w:tcPr>
            <w:tcW w:w="8820" w:type="dxa"/>
            <w:gridSpan w:val="4"/>
            <w:tcBorders>
              <w:top w:val="single" w:color="auto" w:sz="6" w:space="0"/>
              <w:left w:val="single" w:color="auto" w:sz="6" w:space="0"/>
              <w:bottom w:val="single" w:color="auto" w:sz="6" w:space="0"/>
              <w:right w:val="single" w:color="000000" w:sz="6" w:space="0"/>
            </w:tcBorders>
            <w:shd w:val="clear" w:color="auto" w:fill="C6D9F1"/>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黑体" w:hAnsi="宋体" w:eastAsia="黑体" w:cs="黑体"/>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信息内容</w:t>
            </w:r>
          </w:p>
        </w:tc>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本年制发件数</w:t>
            </w:r>
          </w:p>
        </w:tc>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本年废止件数</w:t>
            </w:r>
          </w:p>
        </w:tc>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rPr>
                <w:sz w:val="24"/>
                <w:szCs w:val="24"/>
              </w:rPr>
            </w:pPr>
            <w:r>
              <w:rPr>
                <w:rFonts w:hint="eastAsia" w:ascii="仿宋_GB2312" w:eastAsia="仿宋_GB2312" w:cs="仿宋_GB2312"/>
                <w:sz w:val="21"/>
                <w:szCs w:val="21"/>
              </w:rPr>
              <w:t>规章</w:t>
            </w:r>
          </w:p>
        </w:tc>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0</w:t>
            </w:r>
          </w:p>
        </w:tc>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0</w:t>
            </w:r>
          </w:p>
        </w:tc>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rPr>
                <w:sz w:val="24"/>
                <w:szCs w:val="24"/>
              </w:rPr>
            </w:pPr>
            <w:r>
              <w:rPr>
                <w:rFonts w:hint="eastAsia" w:ascii="仿宋_GB2312" w:eastAsia="仿宋_GB2312" w:cs="仿宋_GB2312"/>
                <w:sz w:val="21"/>
                <w:szCs w:val="21"/>
              </w:rPr>
              <w:t>行政规范性文件</w:t>
            </w:r>
          </w:p>
        </w:tc>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0</w:t>
            </w:r>
          </w:p>
        </w:tc>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0</w:t>
            </w:r>
          </w:p>
        </w:tc>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8820" w:type="dxa"/>
            <w:gridSpan w:val="4"/>
            <w:tcBorders>
              <w:top w:val="single" w:color="auto" w:sz="6" w:space="0"/>
              <w:left w:val="single" w:color="auto" w:sz="6" w:space="0"/>
              <w:bottom w:val="single" w:color="auto" w:sz="6" w:space="0"/>
              <w:right w:val="single" w:color="000000" w:sz="6" w:space="0"/>
            </w:tcBorders>
            <w:shd w:val="clear" w:color="auto" w:fill="C6D9F1"/>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黑体" w:hAnsi="宋体" w:eastAsia="黑体" w:cs="黑体"/>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信息内容</w:t>
            </w:r>
          </w:p>
        </w:tc>
        <w:tc>
          <w:tcPr>
            <w:tcW w:w="6615" w:type="dxa"/>
            <w:gridSpan w:val="3"/>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rPr>
                <w:sz w:val="24"/>
                <w:szCs w:val="24"/>
              </w:rPr>
            </w:pPr>
            <w:r>
              <w:rPr>
                <w:rFonts w:hint="eastAsia" w:ascii="仿宋_GB2312" w:eastAsia="仿宋_GB2312" w:cs="仿宋_GB2312"/>
                <w:sz w:val="21"/>
                <w:szCs w:val="21"/>
              </w:rPr>
              <w:t>行政许可</w:t>
            </w:r>
          </w:p>
        </w:tc>
        <w:tc>
          <w:tcPr>
            <w:tcW w:w="6615" w:type="dxa"/>
            <w:gridSpan w:val="3"/>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8820" w:type="dxa"/>
            <w:gridSpan w:val="4"/>
            <w:tcBorders>
              <w:top w:val="single" w:color="auto" w:sz="6" w:space="0"/>
              <w:left w:val="single" w:color="auto" w:sz="6" w:space="0"/>
              <w:bottom w:val="single" w:color="auto" w:sz="6" w:space="0"/>
              <w:right w:val="single" w:color="000000" w:sz="6" w:space="0"/>
            </w:tcBorders>
            <w:shd w:val="clear" w:color="auto" w:fill="C6D9F1"/>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黑体" w:hAnsi="宋体" w:eastAsia="黑体" w:cs="黑体"/>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信息内容</w:t>
            </w:r>
          </w:p>
        </w:tc>
        <w:tc>
          <w:tcPr>
            <w:tcW w:w="6615" w:type="dxa"/>
            <w:gridSpan w:val="3"/>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rPr>
                <w:sz w:val="24"/>
                <w:szCs w:val="24"/>
              </w:rPr>
            </w:pPr>
            <w:r>
              <w:rPr>
                <w:rFonts w:hint="eastAsia" w:ascii="仿宋_GB2312" w:eastAsia="仿宋_GB2312" w:cs="仿宋_GB2312"/>
                <w:sz w:val="21"/>
                <w:szCs w:val="21"/>
              </w:rPr>
              <w:t>行政处罚</w:t>
            </w:r>
          </w:p>
        </w:tc>
        <w:tc>
          <w:tcPr>
            <w:tcW w:w="6615" w:type="dxa"/>
            <w:gridSpan w:val="3"/>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rPr>
                <w:sz w:val="24"/>
                <w:szCs w:val="24"/>
              </w:rPr>
            </w:pPr>
            <w:r>
              <w:rPr>
                <w:rFonts w:hint="eastAsia" w:ascii="仿宋_GB2312" w:eastAsia="仿宋_GB2312" w:cs="仿宋_GB2312"/>
                <w:sz w:val="21"/>
                <w:szCs w:val="21"/>
              </w:rPr>
              <w:t>行政强制</w:t>
            </w:r>
          </w:p>
        </w:tc>
        <w:tc>
          <w:tcPr>
            <w:tcW w:w="6615" w:type="dxa"/>
            <w:gridSpan w:val="3"/>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8820" w:type="dxa"/>
            <w:gridSpan w:val="4"/>
            <w:tcBorders>
              <w:top w:val="single" w:color="auto" w:sz="6" w:space="0"/>
              <w:left w:val="single" w:color="auto" w:sz="6" w:space="0"/>
              <w:bottom w:val="single" w:color="auto" w:sz="6" w:space="0"/>
              <w:right w:val="single" w:color="000000" w:sz="6" w:space="0"/>
            </w:tcBorders>
            <w:shd w:val="clear" w:color="auto" w:fill="C6D9F1"/>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黑体" w:hAnsi="宋体" w:eastAsia="黑体" w:cs="黑体"/>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信息内容</w:t>
            </w:r>
          </w:p>
        </w:tc>
        <w:tc>
          <w:tcPr>
            <w:tcW w:w="6615" w:type="dxa"/>
            <w:gridSpan w:val="3"/>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rPr>
                <w:sz w:val="24"/>
                <w:szCs w:val="24"/>
              </w:rPr>
            </w:pPr>
            <w:r>
              <w:rPr>
                <w:rFonts w:hint="eastAsia" w:ascii="仿宋_GB2312" w:eastAsia="仿宋_GB2312" w:cs="仿宋_GB2312"/>
                <w:sz w:val="21"/>
                <w:szCs w:val="21"/>
              </w:rPr>
              <w:t>行政事业性收费</w:t>
            </w:r>
          </w:p>
        </w:tc>
        <w:tc>
          <w:tcPr>
            <w:tcW w:w="6615" w:type="dxa"/>
            <w:gridSpan w:val="3"/>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仿宋_GB2312" w:eastAsia="仿宋_GB2312" w:cs="仿宋_GB2312"/>
                <w:sz w:val="21"/>
                <w:szCs w:val="21"/>
              </w:rPr>
              <w:t>0</w:t>
            </w:r>
          </w:p>
        </w:tc>
      </w:tr>
    </w:tbl>
    <w:p>
      <w:pPr>
        <w:numPr>
          <w:ilvl w:val="0"/>
          <w:numId w:val="0"/>
        </w:numPr>
        <w:ind w:left="210" w:leftChars="0"/>
        <w:rPr>
          <w:rStyle w:val="6"/>
          <w:rFonts w:hint="eastAsia" w:ascii="黑体" w:hAnsi="宋体" w:eastAsia="黑体" w:cs="黑体"/>
          <w:sz w:val="31"/>
          <w:szCs w:val="31"/>
          <w:shd w:val="clear" w:fill="FFFFFF"/>
        </w:rPr>
      </w:pPr>
      <w:r>
        <w:rPr>
          <w:rStyle w:val="6"/>
          <w:rFonts w:hint="eastAsia" w:ascii="黑体" w:hAnsi="宋体" w:eastAsia="黑体" w:cs="黑体"/>
          <w:b w:val="0"/>
          <w:bCs/>
          <w:sz w:val="31"/>
          <w:szCs w:val="31"/>
          <w:shd w:val="clear" w:fill="FFFFFF"/>
          <w:lang w:eastAsia="zh-CN"/>
        </w:rPr>
        <w:t>三、</w:t>
      </w:r>
      <w:r>
        <w:rPr>
          <w:rStyle w:val="6"/>
          <w:rFonts w:hint="eastAsia" w:ascii="黑体" w:hAnsi="宋体" w:eastAsia="黑体" w:cs="黑体"/>
          <w:b w:val="0"/>
          <w:bCs/>
          <w:sz w:val="31"/>
          <w:szCs w:val="31"/>
          <w:shd w:val="clear" w:fill="FFFFFF"/>
        </w:rPr>
        <w:t>收到和处理政府信息公开申请情况</w:t>
      </w:r>
    </w:p>
    <w:tbl>
      <w:tblPr>
        <w:tblStyle w:val="4"/>
        <w:tblW w:w="991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60"/>
        <w:gridCol w:w="1656"/>
        <w:gridCol w:w="2874"/>
        <w:gridCol w:w="807"/>
        <w:gridCol w:w="559"/>
        <w:gridCol w:w="559"/>
        <w:gridCol w:w="716"/>
        <w:gridCol w:w="688"/>
        <w:gridCol w:w="559"/>
        <w:gridCol w:w="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blCellSpacing w:w="0" w:type="dxa"/>
          <w:jc w:val="center"/>
        </w:trPr>
        <w:tc>
          <w:tcPr>
            <w:tcW w:w="5100" w:type="dxa"/>
            <w:gridSpan w:val="3"/>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楷体_GB2312" w:eastAsia="楷体_GB2312" w:cs="楷体_GB2312"/>
                <w:sz w:val="21"/>
                <w:szCs w:val="21"/>
              </w:rPr>
              <w:t>（本列数据的勾稽关系为：第一项加第二项之和，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楷体_GB2312" w:eastAsia="楷体_GB2312" w:cs="楷体_GB2312"/>
                <w:sz w:val="21"/>
                <w:szCs w:val="21"/>
              </w:rPr>
              <w:t>等于第三项加第四项之和）</w:t>
            </w:r>
          </w:p>
        </w:tc>
        <w:tc>
          <w:tcPr>
            <w:tcW w:w="4815"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15" w:lineRule="atLeast"/>
              <w:ind w:left="0" w:right="0"/>
              <w:jc w:val="center"/>
              <w:rPr>
                <w:sz w:val="24"/>
                <w:szCs w:val="24"/>
              </w:rPr>
            </w:pPr>
            <w:r>
              <w:rPr>
                <w:rFonts w:hint="eastAsia" w:ascii="黑体" w:hAnsi="宋体" w:eastAsia="黑体" w:cs="黑体"/>
                <w:sz w:val="21"/>
                <w:szCs w:val="21"/>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jc w:val="center"/>
        </w:trPr>
        <w:tc>
          <w:tcPr>
            <w:tcW w:w="5100"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82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黑体" w:hAnsi="宋体" w:eastAsia="黑体" w:cs="黑体"/>
                <w:sz w:val="21"/>
                <w:szCs w:val="21"/>
              </w:rPr>
              <w:t>自然人</w:t>
            </w:r>
          </w:p>
        </w:tc>
        <w:tc>
          <w:tcPr>
            <w:tcW w:w="3135"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15" w:lineRule="atLeast"/>
              <w:ind w:left="0" w:right="0"/>
              <w:jc w:val="center"/>
              <w:rPr>
                <w:sz w:val="24"/>
                <w:szCs w:val="24"/>
              </w:rPr>
            </w:pPr>
            <w:r>
              <w:rPr>
                <w:rFonts w:hint="eastAsia" w:ascii="黑体" w:hAnsi="宋体" w:eastAsia="黑体" w:cs="黑体"/>
                <w:sz w:val="21"/>
                <w:szCs w:val="21"/>
              </w:rPr>
              <w:t>法人或其他组织</w:t>
            </w:r>
          </w:p>
        </w:tc>
        <w:tc>
          <w:tcPr>
            <w:tcW w:w="85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黑体" w:hAnsi="宋体" w:eastAsia="黑体" w:cs="黑体"/>
                <w:sz w:val="21"/>
                <w:szCs w:val="21"/>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blCellSpacing w:w="0" w:type="dxa"/>
          <w:jc w:val="center"/>
        </w:trPr>
        <w:tc>
          <w:tcPr>
            <w:tcW w:w="5100"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82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15" w:lineRule="atLeast"/>
              <w:ind w:left="-105" w:right="-105" w:firstLine="0"/>
              <w:jc w:val="center"/>
              <w:rPr>
                <w:sz w:val="24"/>
                <w:szCs w:val="24"/>
              </w:rPr>
            </w:pPr>
            <w:r>
              <w:rPr>
                <w:rFonts w:hint="eastAsia" w:ascii="黑体" w:hAnsi="宋体" w:eastAsia="黑体" w:cs="黑体"/>
                <w:sz w:val="21"/>
                <w:szCs w:val="21"/>
              </w:rPr>
              <w:t>商业企业</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15" w:lineRule="atLeast"/>
              <w:ind w:left="-105" w:right="-105"/>
              <w:jc w:val="center"/>
              <w:rPr>
                <w:sz w:val="24"/>
                <w:szCs w:val="24"/>
              </w:rPr>
            </w:pPr>
            <w:r>
              <w:rPr>
                <w:rFonts w:hint="eastAsia" w:ascii="黑体" w:hAnsi="宋体" w:eastAsia="黑体" w:cs="黑体"/>
                <w:sz w:val="21"/>
                <w:szCs w:val="21"/>
              </w:rPr>
              <w:t>科研机构</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15" w:lineRule="atLeast"/>
              <w:ind w:left="-105" w:right="-105"/>
              <w:jc w:val="center"/>
              <w:rPr>
                <w:sz w:val="24"/>
                <w:szCs w:val="24"/>
              </w:rPr>
            </w:pPr>
            <w:r>
              <w:rPr>
                <w:rFonts w:hint="eastAsia" w:ascii="黑体" w:hAnsi="宋体" w:eastAsia="黑体" w:cs="黑体"/>
                <w:sz w:val="21"/>
                <w:szCs w:val="21"/>
              </w:rPr>
              <w:t>社会公益组织</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15" w:lineRule="atLeast"/>
              <w:ind w:left="-105" w:right="-105" w:firstLine="0"/>
              <w:jc w:val="center"/>
              <w:rPr>
                <w:sz w:val="24"/>
                <w:szCs w:val="24"/>
              </w:rPr>
            </w:pPr>
            <w:r>
              <w:rPr>
                <w:rFonts w:hint="eastAsia" w:ascii="黑体" w:hAnsi="宋体" w:eastAsia="黑体" w:cs="黑体"/>
                <w:sz w:val="21"/>
                <w:szCs w:val="21"/>
              </w:rPr>
              <w:t>法律服务机构</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tLeast"/>
              <w:ind w:left="-60" w:right="-135"/>
              <w:jc w:val="center"/>
              <w:rPr>
                <w:sz w:val="24"/>
                <w:szCs w:val="24"/>
              </w:rPr>
            </w:pPr>
            <w:r>
              <w:rPr>
                <w:rFonts w:hint="eastAsia" w:ascii="黑体" w:hAnsi="宋体" w:eastAsia="黑体" w:cs="黑体"/>
                <w:sz w:val="21"/>
                <w:szCs w:val="21"/>
              </w:rPr>
              <w:t>其他</w:t>
            </w:r>
          </w:p>
        </w:tc>
        <w:tc>
          <w:tcPr>
            <w:tcW w:w="85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 w:hRule="atLeast"/>
          <w:tblCellSpacing w:w="0" w:type="dxa"/>
          <w:jc w:val="center"/>
        </w:trPr>
        <w:tc>
          <w:tcPr>
            <w:tcW w:w="5100"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rPr>
                <w:sz w:val="24"/>
                <w:szCs w:val="24"/>
              </w:rPr>
            </w:pPr>
            <w:r>
              <w:rPr>
                <w:rFonts w:hint="eastAsia" w:ascii="黑体" w:hAnsi="宋体" w:eastAsia="黑体" w:cs="黑体"/>
                <w:sz w:val="21"/>
                <w:szCs w:val="21"/>
              </w:rPr>
              <w:t>一、</w:t>
            </w:r>
            <w:bookmarkStart w:id="0" w:name="_Hlk66973412"/>
            <w:r>
              <w:rPr>
                <w:rFonts w:hint="eastAsia" w:ascii="黑体" w:hAnsi="宋体" w:eastAsia="黑体" w:cs="黑体"/>
                <w:color w:val="333333"/>
                <w:sz w:val="21"/>
                <w:szCs w:val="21"/>
                <w:u w:val="none"/>
              </w:rPr>
              <w:t>本年新收政府信息公开申请数量</w:t>
            </w:r>
            <w:bookmarkEnd w:id="0"/>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 w:hRule="atLeast"/>
          <w:tblCellSpacing w:w="0" w:type="dxa"/>
          <w:jc w:val="center"/>
        </w:trPr>
        <w:tc>
          <w:tcPr>
            <w:tcW w:w="5100"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rPr>
                <w:sz w:val="24"/>
                <w:szCs w:val="24"/>
              </w:rPr>
            </w:pPr>
            <w:r>
              <w:rPr>
                <w:rFonts w:hint="eastAsia" w:ascii="黑体" w:hAnsi="宋体" w:eastAsia="黑体" w:cs="黑体"/>
                <w:sz w:val="21"/>
                <w:szCs w:val="21"/>
              </w:rPr>
              <w:t>二、上年结转政府信息公开申请数量</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rPr>
                <w:sz w:val="24"/>
                <w:szCs w:val="24"/>
              </w:rPr>
            </w:pPr>
            <w:r>
              <w:rPr>
                <w:rFonts w:hint="eastAsia" w:ascii="黑体" w:hAnsi="宋体" w:eastAsia="黑体" w:cs="黑体"/>
                <w:sz w:val="21"/>
                <w:szCs w:val="21"/>
              </w:rPr>
              <w:t>三、本年度办理结果</w:t>
            </w:r>
          </w:p>
        </w:tc>
        <w:tc>
          <w:tcPr>
            <w:tcW w:w="468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rPr>
                <w:sz w:val="24"/>
                <w:szCs w:val="24"/>
              </w:rPr>
            </w:pPr>
            <w:r>
              <w:rPr>
                <w:rFonts w:hint="eastAsia" w:ascii="黑体" w:hAnsi="宋体" w:eastAsia="黑体" w:cs="黑体"/>
                <w:sz w:val="21"/>
                <w:szCs w:val="21"/>
              </w:rPr>
              <w:t>（一）予以公开</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8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rPr>
                <w:sz w:val="24"/>
                <w:szCs w:val="24"/>
              </w:rPr>
            </w:pPr>
            <w:r>
              <w:rPr>
                <w:rFonts w:hint="eastAsia" w:ascii="黑体" w:hAnsi="宋体" w:eastAsia="黑体" w:cs="黑体"/>
                <w:sz w:val="21"/>
                <w:szCs w:val="21"/>
              </w:rPr>
              <w:t>（二）部分公开（</w:t>
            </w:r>
            <w:bookmarkStart w:id="1" w:name="_Hlk66973981"/>
            <w:r>
              <w:rPr>
                <w:rFonts w:hint="eastAsia" w:ascii="黑体" w:hAnsi="宋体" w:eastAsia="黑体" w:cs="黑体"/>
                <w:color w:val="333333"/>
                <w:sz w:val="21"/>
                <w:szCs w:val="21"/>
                <w:u w:val="none"/>
              </w:rPr>
              <w:t>区分处理的，只计这一情形，不计其他情形</w:t>
            </w:r>
            <w:bookmarkEnd w:id="1"/>
            <w:r>
              <w:rPr>
                <w:rFonts w:hint="eastAsia" w:ascii="黑体" w:hAnsi="宋体" w:eastAsia="黑体" w:cs="黑体"/>
                <w:sz w:val="21"/>
                <w:szCs w:val="21"/>
              </w:rPr>
              <w:t>）</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105" w:right="0"/>
              <w:rPr>
                <w:sz w:val="24"/>
                <w:szCs w:val="24"/>
              </w:rPr>
            </w:pPr>
            <w:r>
              <w:rPr>
                <w:rFonts w:hint="eastAsia" w:ascii="黑体" w:hAnsi="宋体" w:eastAsia="黑体" w:cs="黑体"/>
                <w:sz w:val="21"/>
                <w:szCs w:val="21"/>
              </w:rPr>
              <w:t>（三）不予公开</w:t>
            </w: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0" w:right="0"/>
              <w:rPr>
                <w:sz w:val="24"/>
                <w:szCs w:val="24"/>
              </w:rPr>
            </w:pPr>
            <w:r>
              <w:rPr>
                <w:rFonts w:hint="eastAsia" w:ascii="仿宋_GB2312" w:eastAsia="仿宋_GB2312" w:cs="仿宋_GB2312"/>
                <w:sz w:val="21"/>
                <w:szCs w:val="21"/>
              </w:rPr>
              <w:t>1.属于国家秘密</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0" w:right="0"/>
              <w:rPr>
                <w:sz w:val="24"/>
                <w:szCs w:val="24"/>
              </w:rPr>
            </w:pPr>
            <w:r>
              <w:rPr>
                <w:rFonts w:hint="eastAsia" w:ascii="仿宋_GB2312" w:eastAsia="仿宋_GB2312" w:cs="仿宋_GB2312"/>
                <w:sz w:val="21"/>
                <w:szCs w:val="21"/>
              </w:rPr>
              <w:t>2.</w:t>
            </w:r>
            <w:bookmarkStart w:id="2" w:name="_Hlk66974104"/>
            <w:r>
              <w:rPr>
                <w:rFonts w:hint="eastAsia" w:ascii="仿宋_GB2312" w:eastAsia="仿宋_GB2312" w:cs="仿宋_GB2312"/>
                <w:color w:val="333333"/>
                <w:sz w:val="21"/>
                <w:szCs w:val="21"/>
                <w:u w:val="none"/>
              </w:rPr>
              <w:t>其他法律行政法规禁止公开</w:t>
            </w:r>
            <w:bookmarkEnd w:id="2"/>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0" w:right="0"/>
              <w:rPr>
                <w:sz w:val="24"/>
                <w:szCs w:val="24"/>
              </w:rPr>
            </w:pPr>
            <w:r>
              <w:rPr>
                <w:rFonts w:hint="eastAsia" w:ascii="仿宋_GB2312" w:eastAsia="仿宋_GB2312" w:cs="仿宋_GB2312"/>
                <w:sz w:val="21"/>
                <w:szCs w:val="21"/>
              </w:rPr>
              <w:t>3.危及“三安全一稳定”</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0" w:right="0"/>
              <w:rPr>
                <w:sz w:val="24"/>
                <w:szCs w:val="24"/>
              </w:rPr>
            </w:pPr>
            <w:r>
              <w:rPr>
                <w:rFonts w:hint="eastAsia" w:ascii="仿宋_GB2312" w:eastAsia="仿宋_GB2312" w:cs="仿宋_GB2312"/>
                <w:sz w:val="21"/>
                <w:szCs w:val="21"/>
              </w:rPr>
              <w:t>4.</w:t>
            </w:r>
            <w:bookmarkStart w:id="3" w:name="_Hlk66974290"/>
            <w:r>
              <w:rPr>
                <w:rFonts w:hint="eastAsia" w:ascii="仿宋_GB2312" w:eastAsia="仿宋_GB2312" w:cs="仿宋_GB2312"/>
                <w:color w:val="333333"/>
                <w:sz w:val="21"/>
                <w:szCs w:val="21"/>
                <w:u w:val="none"/>
              </w:rPr>
              <w:t>保护第三方合法权益</w:t>
            </w:r>
            <w:bookmarkEnd w:id="3"/>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0" w:right="0"/>
              <w:rPr>
                <w:sz w:val="24"/>
                <w:szCs w:val="24"/>
              </w:rPr>
            </w:pPr>
            <w:r>
              <w:rPr>
                <w:rFonts w:hint="eastAsia" w:ascii="仿宋_GB2312" w:eastAsia="仿宋_GB2312" w:cs="仿宋_GB2312"/>
                <w:sz w:val="21"/>
                <w:szCs w:val="21"/>
              </w:rPr>
              <w:t>5.属于三类内部事务信息</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0" w:right="0"/>
              <w:rPr>
                <w:sz w:val="24"/>
                <w:szCs w:val="24"/>
              </w:rPr>
            </w:pPr>
            <w:r>
              <w:rPr>
                <w:rFonts w:hint="eastAsia" w:ascii="仿宋_GB2312" w:eastAsia="仿宋_GB2312" w:cs="仿宋_GB2312"/>
                <w:sz w:val="21"/>
                <w:szCs w:val="21"/>
              </w:rPr>
              <w:t>6.</w:t>
            </w:r>
            <w:bookmarkStart w:id="4" w:name="_Hlk66974555"/>
            <w:r>
              <w:rPr>
                <w:rFonts w:hint="eastAsia" w:ascii="仿宋_GB2312" w:eastAsia="仿宋_GB2312" w:cs="仿宋_GB2312"/>
                <w:color w:val="333333"/>
                <w:sz w:val="21"/>
                <w:szCs w:val="21"/>
                <w:u w:val="none"/>
              </w:rPr>
              <w:t>属于四类过程性信息</w:t>
            </w:r>
            <w:bookmarkEnd w:id="4"/>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0" w:right="0"/>
              <w:rPr>
                <w:sz w:val="24"/>
                <w:szCs w:val="24"/>
              </w:rPr>
            </w:pPr>
            <w:r>
              <w:rPr>
                <w:rFonts w:hint="eastAsia" w:ascii="仿宋_GB2312" w:eastAsia="仿宋_GB2312" w:cs="仿宋_GB2312"/>
                <w:sz w:val="21"/>
                <w:szCs w:val="21"/>
              </w:rPr>
              <w:t>7.属于行政执法案卷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0" w:right="0"/>
              <w:rPr>
                <w:sz w:val="24"/>
                <w:szCs w:val="24"/>
              </w:rPr>
            </w:pPr>
            <w:r>
              <w:rPr>
                <w:rFonts w:hint="eastAsia" w:ascii="仿宋_GB2312" w:eastAsia="仿宋_GB2312" w:cs="仿宋_GB2312"/>
                <w:sz w:val="21"/>
                <w:szCs w:val="21"/>
              </w:rPr>
              <w:t>8.</w:t>
            </w:r>
            <w:bookmarkStart w:id="5" w:name="_Hlk66975211"/>
            <w:r>
              <w:rPr>
                <w:rFonts w:hint="eastAsia" w:ascii="仿宋_GB2312" w:eastAsia="仿宋_GB2312" w:cs="仿宋_GB2312"/>
                <w:color w:val="333333"/>
                <w:sz w:val="21"/>
                <w:szCs w:val="21"/>
                <w:u w:val="none"/>
              </w:rPr>
              <w:t>属于行政查询事项</w:t>
            </w:r>
            <w:bookmarkEnd w:id="5"/>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105" w:right="0"/>
              <w:rPr>
                <w:sz w:val="24"/>
                <w:szCs w:val="24"/>
              </w:rPr>
            </w:pPr>
            <w:r>
              <w:rPr>
                <w:rFonts w:hint="eastAsia" w:ascii="黑体" w:hAnsi="宋体" w:eastAsia="黑体" w:cs="黑体"/>
                <w:sz w:val="21"/>
                <w:szCs w:val="21"/>
              </w:rPr>
              <w:t>（四）无法提供</w:t>
            </w: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0" w:right="0"/>
              <w:rPr>
                <w:sz w:val="24"/>
                <w:szCs w:val="24"/>
              </w:rPr>
            </w:pPr>
            <w:r>
              <w:rPr>
                <w:rFonts w:hint="eastAsia" w:ascii="仿宋_GB2312" w:eastAsia="仿宋_GB2312" w:cs="仿宋_GB2312"/>
                <w:sz w:val="21"/>
                <w:szCs w:val="21"/>
              </w:rPr>
              <w:t>1.本机关不掌握相关政府信息</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0" w:right="0"/>
              <w:rPr>
                <w:sz w:val="24"/>
                <w:szCs w:val="24"/>
              </w:rPr>
            </w:pPr>
            <w:r>
              <w:rPr>
                <w:rFonts w:hint="eastAsia" w:ascii="仿宋_GB2312" w:eastAsia="仿宋_GB2312" w:cs="仿宋_GB2312"/>
                <w:sz w:val="21"/>
                <w:szCs w:val="21"/>
              </w:rPr>
              <w:t>2.</w:t>
            </w:r>
            <w:bookmarkStart w:id="6" w:name="_Hlk66975392"/>
            <w:r>
              <w:rPr>
                <w:rFonts w:hint="eastAsia" w:ascii="仿宋_GB2312" w:eastAsia="仿宋_GB2312" w:cs="仿宋_GB2312"/>
                <w:color w:val="333333"/>
                <w:sz w:val="21"/>
                <w:szCs w:val="21"/>
                <w:u w:val="none"/>
              </w:rPr>
              <w:t>没有现成信息需要另行制作</w:t>
            </w:r>
            <w:bookmarkEnd w:id="6"/>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0" w:right="0"/>
              <w:rPr>
                <w:sz w:val="24"/>
                <w:szCs w:val="24"/>
              </w:rPr>
            </w:pPr>
            <w:r>
              <w:rPr>
                <w:rFonts w:hint="eastAsia" w:ascii="仿宋_GB2312" w:eastAsia="仿宋_GB2312" w:cs="仿宋_GB2312"/>
                <w:sz w:val="21"/>
                <w:szCs w:val="21"/>
              </w:rPr>
              <w:t>3.</w:t>
            </w:r>
            <w:bookmarkStart w:id="7" w:name="_Hlk66975466"/>
            <w:r>
              <w:rPr>
                <w:rFonts w:hint="eastAsia" w:ascii="仿宋_GB2312" w:eastAsia="仿宋_GB2312" w:cs="仿宋_GB2312"/>
                <w:color w:val="333333"/>
                <w:sz w:val="21"/>
                <w:szCs w:val="21"/>
                <w:u w:val="none"/>
              </w:rPr>
              <w:t>补正后申请内容仍不明确</w:t>
            </w:r>
            <w:bookmarkEnd w:id="7"/>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105" w:right="0"/>
              <w:rPr>
                <w:sz w:val="24"/>
                <w:szCs w:val="24"/>
              </w:rPr>
            </w:pPr>
            <w:r>
              <w:rPr>
                <w:rFonts w:hint="eastAsia" w:ascii="黑体" w:hAnsi="宋体" w:eastAsia="黑体" w:cs="黑体"/>
                <w:sz w:val="21"/>
                <w:szCs w:val="21"/>
              </w:rPr>
              <w:t>（五）不予处理</w:t>
            </w: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0" w:right="0"/>
              <w:rPr>
                <w:sz w:val="24"/>
                <w:szCs w:val="24"/>
              </w:rPr>
            </w:pPr>
            <w:r>
              <w:rPr>
                <w:rFonts w:hint="eastAsia" w:ascii="仿宋_GB2312" w:eastAsia="仿宋_GB2312" w:cs="仿宋_GB2312"/>
                <w:sz w:val="21"/>
                <w:szCs w:val="21"/>
              </w:rPr>
              <w:t>1.</w:t>
            </w:r>
            <w:bookmarkStart w:id="8" w:name="_Hlk66975537"/>
            <w:r>
              <w:rPr>
                <w:rFonts w:hint="eastAsia" w:ascii="仿宋_GB2312" w:eastAsia="仿宋_GB2312" w:cs="仿宋_GB2312"/>
                <w:color w:val="333333"/>
                <w:sz w:val="21"/>
                <w:szCs w:val="21"/>
                <w:u w:val="none"/>
              </w:rPr>
              <w:t>信访举报投诉类申请</w:t>
            </w:r>
            <w:bookmarkEnd w:id="8"/>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0" w:right="0"/>
              <w:rPr>
                <w:sz w:val="24"/>
                <w:szCs w:val="24"/>
              </w:rPr>
            </w:pPr>
            <w:r>
              <w:rPr>
                <w:rFonts w:hint="eastAsia" w:ascii="仿宋_GB2312" w:eastAsia="仿宋_GB2312" w:cs="仿宋_GB2312"/>
                <w:sz w:val="21"/>
                <w:szCs w:val="21"/>
              </w:rPr>
              <w:t>2.重复申请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0" w:right="0"/>
              <w:rPr>
                <w:sz w:val="24"/>
                <w:szCs w:val="24"/>
              </w:rPr>
            </w:pPr>
            <w:r>
              <w:rPr>
                <w:rFonts w:hint="eastAsia" w:ascii="仿宋_GB2312" w:eastAsia="仿宋_GB2312" w:cs="仿宋_GB2312"/>
                <w:sz w:val="21"/>
                <w:szCs w:val="21"/>
              </w:rPr>
              <w:t>3.要求提供公开出版物</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195" w:lineRule="atLeast"/>
              <w:ind w:left="0" w:right="0"/>
              <w:rPr>
                <w:sz w:val="24"/>
                <w:szCs w:val="24"/>
              </w:rPr>
            </w:pPr>
            <w:r>
              <w:rPr>
                <w:rFonts w:hint="eastAsia" w:ascii="仿宋_GB2312" w:eastAsia="仿宋_GB2312" w:cs="仿宋_GB2312"/>
                <w:sz w:val="21"/>
                <w:szCs w:val="21"/>
              </w:rPr>
              <w:t>4.无正当理由大量反复申请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00" w:lineRule="atLeast"/>
              <w:ind w:left="0" w:right="0"/>
              <w:rPr>
                <w:sz w:val="24"/>
                <w:szCs w:val="24"/>
              </w:rPr>
            </w:pPr>
            <w:r>
              <w:rPr>
                <w:rFonts w:hint="eastAsia" w:ascii="仿宋_GB2312" w:eastAsia="仿宋_GB2312" w:cs="仿宋_GB2312"/>
                <w:sz w:val="21"/>
                <w:szCs w:val="21"/>
              </w:rPr>
              <w:t>5.要求行政机关确认或重新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00" w:lineRule="atLeast"/>
              <w:ind w:left="0" w:right="0" w:firstLine="210"/>
              <w:rPr>
                <w:sz w:val="24"/>
                <w:szCs w:val="24"/>
              </w:rPr>
            </w:pPr>
            <w:r>
              <w:rPr>
                <w:rFonts w:hint="eastAsia" w:ascii="仿宋_GB2312" w:eastAsia="仿宋_GB2312" w:cs="仿宋_GB2312"/>
                <w:sz w:val="21"/>
                <w:szCs w:val="21"/>
              </w:rPr>
              <w:t>出具已获取信息</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00" w:lineRule="atLeast"/>
              <w:ind w:left="0" w:right="0"/>
              <w:rPr>
                <w:sz w:val="24"/>
                <w:szCs w:val="24"/>
              </w:rPr>
            </w:pPr>
            <w:r>
              <w:rPr>
                <w:rFonts w:hint="eastAsia" w:ascii="黑体" w:hAnsi="宋体" w:eastAsia="黑体" w:cs="黑体"/>
                <w:sz w:val="21"/>
                <w:szCs w:val="21"/>
              </w:rPr>
              <w:t>（六）其他处理</w:t>
            </w:r>
          </w:p>
        </w:tc>
        <w:tc>
          <w:tcPr>
            <w:tcW w:w="29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00" w:lineRule="atLeast"/>
              <w:ind w:left="0" w:right="0"/>
              <w:rPr>
                <w:sz w:val="24"/>
                <w:szCs w:val="24"/>
              </w:rPr>
            </w:pPr>
            <w:r>
              <w:rPr>
                <w:rFonts w:hint="eastAsia" w:ascii="仿宋_GB2312" w:eastAsia="仿宋_GB2312" w:cs="仿宋_GB2312"/>
                <w:sz w:val="21"/>
                <w:szCs w:val="21"/>
              </w:rPr>
              <w:t>1.申请人无正当理由逾期不补正、行政机关不再处理其政府信息公开申请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00" w:lineRule="atLeast"/>
              <w:ind w:left="0" w:right="0"/>
              <w:rPr>
                <w:sz w:val="24"/>
                <w:szCs w:val="24"/>
              </w:rPr>
            </w:pPr>
            <w:r>
              <w:rPr>
                <w:rFonts w:hint="eastAsia" w:ascii="仿宋_GB2312" w:eastAsia="仿宋_GB2312" w:cs="仿宋_GB2312"/>
                <w:sz w:val="21"/>
                <w:szCs w:val="21"/>
              </w:rPr>
              <w:t>2.申请人逾期未按收费通知要求缴纳费用、行政机关不再处理其政府信息公开申请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00" w:lineRule="atLeast"/>
              <w:ind w:left="0" w:right="0"/>
              <w:rPr>
                <w:sz w:val="24"/>
                <w:szCs w:val="24"/>
              </w:rPr>
            </w:pPr>
            <w:r>
              <w:rPr>
                <w:rFonts w:hint="eastAsia" w:ascii="仿宋_GB2312" w:eastAsia="仿宋_GB2312" w:cs="仿宋_GB2312"/>
                <w:sz w:val="21"/>
                <w:szCs w:val="21"/>
              </w:rPr>
              <w:t>3.其他</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8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00" w:lineRule="atLeast"/>
              <w:ind w:left="0" w:right="0"/>
              <w:rPr>
                <w:sz w:val="24"/>
                <w:szCs w:val="24"/>
              </w:rPr>
            </w:pPr>
            <w:r>
              <w:rPr>
                <w:rFonts w:hint="eastAsia" w:ascii="黑体" w:hAnsi="宋体" w:eastAsia="黑体" w:cs="黑体"/>
                <w:sz w:val="21"/>
                <w:szCs w:val="21"/>
              </w:rPr>
              <w:t>（七）总计</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100"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00" w:lineRule="atLeast"/>
              <w:ind w:left="0" w:right="0"/>
              <w:rPr>
                <w:sz w:val="24"/>
                <w:szCs w:val="24"/>
              </w:rPr>
            </w:pPr>
            <w:r>
              <w:rPr>
                <w:rFonts w:hint="eastAsia" w:ascii="黑体" w:hAnsi="宋体" w:eastAsia="黑体" w:cs="黑体"/>
                <w:sz w:val="21"/>
                <w:szCs w:val="21"/>
              </w:rPr>
              <w:t>四、结转下年度继续办理</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eastAsia" w:ascii="仿宋_GB2312" w:eastAsia="仿宋_GB2312" w:cs="仿宋_GB2312"/>
                <w:sz w:val="21"/>
                <w:szCs w:val="21"/>
              </w:rPr>
              <w:t>0</w:t>
            </w:r>
          </w:p>
        </w:tc>
      </w:tr>
    </w:tbl>
    <w:p>
      <w:pPr>
        <w:numPr>
          <w:ilvl w:val="0"/>
          <w:numId w:val="0"/>
        </w:numPr>
        <w:rPr>
          <w:rStyle w:val="6"/>
          <w:rFonts w:hint="eastAsia" w:ascii="黑体" w:hAnsi="宋体" w:eastAsia="黑体" w:cs="黑体"/>
          <w:b w:val="0"/>
          <w:bCs/>
          <w:sz w:val="31"/>
          <w:szCs w:val="31"/>
          <w:shd w:val="clear" w:fill="FFFFFF"/>
        </w:rPr>
      </w:pPr>
      <w:r>
        <w:rPr>
          <w:rStyle w:val="6"/>
          <w:rFonts w:hint="eastAsia" w:ascii="黑体" w:hAnsi="宋体" w:eastAsia="黑体" w:cs="黑体"/>
          <w:b w:val="0"/>
          <w:bCs/>
          <w:sz w:val="31"/>
          <w:szCs w:val="31"/>
          <w:shd w:val="clear" w:fill="FFFFFF"/>
          <w:lang w:eastAsia="zh-CN"/>
        </w:rPr>
        <w:t>四、</w:t>
      </w:r>
      <w:r>
        <w:rPr>
          <w:rStyle w:val="6"/>
          <w:rFonts w:hint="eastAsia" w:ascii="黑体" w:hAnsi="宋体" w:eastAsia="黑体" w:cs="黑体"/>
          <w:b w:val="0"/>
          <w:bCs/>
          <w:sz w:val="31"/>
          <w:szCs w:val="31"/>
          <w:shd w:val="clear" w:fill="FFFFFF"/>
        </w:rPr>
        <w:t>政府信息公开行政复议、行政诉讼情况</w:t>
      </w:r>
    </w:p>
    <w:tbl>
      <w:tblPr>
        <w:tblStyle w:val="4"/>
        <w:tblW w:w="907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jc w:val="center"/>
        </w:trPr>
        <w:tc>
          <w:tcPr>
            <w:tcW w:w="3075"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黑体" w:hAnsi="宋体" w:eastAsia="黑体" w:cs="黑体"/>
                <w:sz w:val="19"/>
                <w:szCs w:val="19"/>
              </w:rPr>
              <w:t>行政复议</w:t>
            </w:r>
          </w:p>
        </w:tc>
        <w:tc>
          <w:tcPr>
            <w:tcW w:w="6000" w:type="dxa"/>
            <w:gridSpan w:val="10"/>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黑体" w:hAnsi="宋体" w:eastAsia="黑体" w:cs="黑体"/>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jc w:val="center"/>
        </w:trPr>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150" w:right="-165"/>
              <w:jc w:val="center"/>
              <w:rPr>
                <w:sz w:val="24"/>
                <w:szCs w:val="24"/>
              </w:rPr>
            </w:pPr>
            <w:r>
              <w:rPr>
                <w:rFonts w:hint="eastAsia" w:ascii="黑体" w:hAnsi="宋体" w:eastAsia="黑体" w:cs="黑体"/>
                <w:sz w:val="19"/>
                <w:szCs w:val="19"/>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150" w:right="-165"/>
              <w:jc w:val="center"/>
              <w:rPr>
                <w:sz w:val="24"/>
                <w:szCs w:val="24"/>
              </w:rPr>
            </w:pPr>
            <w:r>
              <w:rPr>
                <w:rFonts w:hint="eastAsia" w:ascii="黑体" w:hAnsi="宋体" w:eastAsia="黑体" w:cs="黑体"/>
                <w:sz w:val="19"/>
                <w:szCs w:val="19"/>
              </w:rPr>
              <w:t>维持</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45" w:right="-135" w:firstLine="0"/>
              <w:jc w:val="center"/>
              <w:rPr>
                <w:sz w:val="24"/>
                <w:szCs w:val="24"/>
              </w:rPr>
            </w:pPr>
            <w:r>
              <w:rPr>
                <w:rFonts w:hint="eastAsia" w:ascii="黑体" w:hAnsi="宋体" w:eastAsia="黑体" w:cs="黑体"/>
                <w:sz w:val="19"/>
                <w:szCs w:val="19"/>
              </w:rPr>
              <w:t>结果纠正</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75" w:right="-90"/>
              <w:jc w:val="center"/>
              <w:rPr>
                <w:sz w:val="24"/>
                <w:szCs w:val="24"/>
              </w:rPr>
            </w:pPr>
            <w:r>
              <w:rPr>
                <w:rFonts w:hint="eastAsia" w:ascii="黑体" w:hAnsi="宋体" w:eastAsia="黑体" w:cs="黑体"/>
                <w:sz w:val="19"/>
                <w:szCs w:val="19"/>
              </w:rPr>
              <w:t>其他结果</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120" w:right="-120"/>
              <w:jc w:val="center"/>
              <w:rPr>
                <w:sz w:val="24"/>
                <w:szCs w:val="24"/>
              </w:rPr>
            </w:pPr>
            <w:r>
              <w:rPr>
                <w:rFonts w:hint="eastAsia" w:ascii="黑体" w:hAnsi="宋体" w:eastAsia="黑体" w:cs="黑体"/>
                <w:sz w:val="19"/>
                <w:szCs w:val="19"/>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120" w:right="-120"/>
              <w:jc w:val="center"/>
              <w:rPr>
                <w:sz w:val="24"/>
                <w:szCs w:val="24"/>
              </w:rPr>
            </w:pPr>
            <w:r>
              <w:rPr>
                <w:rFonts w:hint="eastAsia" w:ascii="黑体" w:hAnsi="宋体" w:eastAsia="黑体" w:cs="黑体"/>
                <w:sz w:val="19"/>
                <w:szCs w:val="19"/>
              </w:rPr>
              <w:t>审结</w:t>
            </w:r>
          </w:p>
        </w:tc>
        <w:tc>
          <w:tcPr>
            <w:tcW w:w="66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15" w:lineRule="atLeast"/>
              <w:ind w:left="0" w:right="0"/>
              <w:jc w:val="center"/>
              <w:rPr>
                <w:sz w:val="24"/>
                <w:szCs w:val="24"/>
              </w:rPr>
            </w:pPr>
            <w:r>
              <w:rPr>
                <w:rFonts w:hint="eastAsia" w:ascii="黑体" w:hAnsi="宋体" w:eastAsia="黑体" w:cs="黑体"/>
                <w:sz w:val="19"/>
                <w:szCs w:val="19"/>
              </w:rPr>
              <w:t>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15" w:lineRule="atLeast"/>
              <w:ind w:left="0" w:right="0"/>
              <w:jc w:val="center"/>
              <w:rPr>
                <w:sz w:val="24"/>
                <w:szCs w:val="24"/>
              </w:rPr>
            </w:pPr>
            <w:r>
              <w:rPr>
                <w:rFonts w:hint="eastAsia" w:ascii="黑体" w:hAnsi="宋体" w:eastAsia="黑体" w:cs="黑体"/>
                <w:sz w:val="19"/>
                <w:szCs w:val="19"/>
              </w:rPr>
              <w:t>计</w:t>
            </w:r>
          </w:p>
        </w:tc>
        <w:tc>
          <w:tcPr>
            <w:tcW w:w="2970"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黑体" w:hAnsi="宋体" w:eastAsia="黑体" w:cs="黑体"/>
                <w:sz w:val="19"/>
                <w:szCs w:val="19"/>
              </w:rPr>
              <w:t>未经复议直接起诉</w:t>
            </w:r>
          </w:p>
        </w:tc>
        <w:tc>
          <w:tcPr>
            <w:tcW w:w="3030"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黑体" w:hAnsi="宋体" w:eastAsia="黑体" w:cs="黑体"/>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blCellSpacing w:w="0" w:type="dxa"/>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6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5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105" w:right="-120"/>
              <w:jc w:val="center"/>
              <w:rPr>
                <w:sz w:val="24"/>
                <w:szCs w:val="24"/>
              </w:rPr>
            </w:pPr>
            <w:r>
              <w:rPr>
                <w:rFonts w:hint="eastAsia" w:ascii="黑体" w:hAnsi="宋体" w:eastAsia="黑体" w:cs="黑体"/>
                <w:sz w:val="19"/>
                <w:szCs w:val="19"/>
              </w:rPr>
              <w:t>结果维持</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90" w:right="-90"/>
              <w:jc w:val="center"/>
              <w:rPr>
                <w:sz w:val="24"/>
                <w:szCs w:val="24"/>
              </w:rPr>
            </w:pPr>
            <w:r>
              <w:rPr>
                <w:rFonts w:hint="eastAsia" w:ascii="黑体" w:hAnsi="宋体" w:eastAsia="黑体" w:cs="黑体"/>
                <w:sz w:val="19"/>
                <w:szCs w:val="19"/>
              </w:rPr>
              <w:t>结果纠正</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120" w:right="-135"/>
              <w:jc w:val="center"/>
              <w:rPr>
                <w:sz w:val="24"/>
                <w:szCs w:val="24"/>
              </w:rPr>
            </w:pPr>
            <w:r>
              <w:rPr>
                <w:rFonts w:hint="eastAsia" w:ascii="黑体" w:hAnsi="宋体" w:eastAsia="黑体" w:cs="黑体"/>
                <w:sz w:val="19"/>
                <w:szCs w:val="19"/>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120" w:right="-135"/>
              <w:jc w:val="center"/>
              <w:rPr>
                <w:sz w:val="24"/>
                <w:szCs w:val="24"/>
              </w:rPr>
            </w:pPr>
            <w:r>
              <w:rPr>
                <w:rFonts w:hint="eastAsia" w:ascii="黑体" w:hAnsi="宋体" w:eastAsia="黑体" w:cs="黑体"/>
                <w:sz w:val="19"/>
                <w:szCs w:val="19"/>
              </w:rPr>
              <w:t>结果</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165" w:right="-150"/>
              <w:jc w:val="center"/>
              <w:rPr>
                <w:sz w:val="24"/>
                <w:szCs w:val="24"/>
              </w:rPr>
            </w:pPr>
            <w:r>
              <w:rPr>
                <w:rFonts w:hint="eastAsia" w:ascii="黑体" w:hAnsi="宋体" w:eastAsia="黑体" w:cs="黑体"/>
                <w:sz w:val="19"/>
                <w:szCs w:val="19"/>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165" w:right="-150"/>
              <w:jc w:val="center"/>
              <w:rPr>
                <w:sz w:val="24"/>
                <w:szCs w:val="24"/>
              </w:rPr>
            </w:pPr>
            <w:r>
              <w:rPr>
                <w:rFonts w:hint="eastAsia" w:ascii="黑体" w:hAnsi="宋体" w:eastAsia="黑体" w:cs="黑体"/>
                <w:sz w:val="19"/>
                <w:szCs w:val="19"/>
              </w:rPr>
              <w:t>审结</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黑体" w:hAnsi="宋体" w:eastAsia="黑体" w:cs="黑体"/>
                <w:sz w:val="19"/>
                <w:szCs w:val="19"/>
              </w:rPr>
              <w:t>总计</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105" w:right="-75"/>
              <w:jc w:val="center"/>
              <w:rPr>
                <w:sz w:val="24"/>
                <w:szCs w:val="24"/>
              </w:rPr>
            </w:pPr>
            <w:r>
              <w:rPr>
                <w:rFonts w:hint="eastAsia" w:ascii="黑体" w:hAnsi="宋体" w:eastAsia="黑体" w:cs="黑体"/>
                <w:sz w:val="19"/>
                <w:szCs w:val="19"/>
              </w:rPr>
              <w:t>结果维持</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135" w:right="-120"/>
              <w:jc w:val="center"/>
              <w:rPr>
                <w:sz w:val="24"/>
                <w:szCs w:val="24"/>
              </w:rPr>
            </w:pPr>
            <w:r>
              <w:rPr>
                <w:rFonts w:hint="eastAsia" w:ascii="黑体" w:hAnsi="宋体" w:eastAsia="黑体" w:cs="黑体"/>
                <w:sz w:val="19"/>
                <w:szCs w:val="19"/>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135" w:right="-120"/>
              <w:jc w:val="center"/>
              <w:rPr>
                <w:sz w:val="24"/>
                <w:szCs w:val="24"/>
              </w:rPr>
            </w:pPr>
            <w:r>
              <w:rPr>
                <w:rFonts w:hint="eastAsia" w:ascii="黑体" w:hAnsi="宋体" w:eastAsia="黑体" w:cs="黑体"/>
                <w:sz w:val="19"/>
                <w:szCs w:val="19"/>
              </w:rPr>
              <w:t>纠正</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180" w:right="-135" w:firstLine="0"/>
              <w:jc w:val="center"/>
              <w:rPr>
                <w:sz w:val="24"/>
                <w:szCs w:val="24"/>
              </w:rPr>
            </w:pPr>
            <w:r>
              <w:rPr>
                <w:rFonts w:hint="eastAsia" w:ascii="黑体" w:hAnsi="宋体" w:eastAsia="黑体" w:cs="黑体"/>
                <w:sz w:val="19"/>
                <w:szCs w:val="19"/>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180" w:right="-135" w:firstLine="0"/>
              <w:jc w:val="center"/>
              <w:rPr>
                <w:sz w:val="24"/>
                <w:szCs w:val="24"/>
              </w:rPr>
            </w:pPr>
            <w:r>
              <w:rPr>
                <w:rFonts w:hint="eastAsia" w:ascii="黑体" w:hAnsi="宋体" w:eastAsia="黑体" w:cs="黑体"/>
                <w:sz w:val="19"/>
                <w:szCs w:val="19"/>
              </w:rPr>
              <w:t>结果</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60" w:right="-105" w:firstLine="0"/>
              <w:jc w:val="center"/>
              <w:rPr>
                <w:sz w:val="24"/>
                <w:szCs w:val="24"/>
              </w:rPr>
            </w:pPr>
            <w:r>
              <w:rPr>
                <w:rFonts w:hint="eastAsia" w:ascii="黑体" w:hAnsi="宋体" w:eastAsia="黑体" w:cs="黑体"/>
                <w:sz w:val="19"/>
                <w:szCs w:val="19"/>
              </w:rPr>
              <w:t>尚未审结</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 w:lineRule="atLeast"/>
              <w:ind w:left="0" w:right="0"/>
              <w:jc w:val="center"/>
              <w:rPr>
                <w:sz w:val="24"/>
                <w:szCs w:val="24"/>
              </w:rPr>
            </w:pPr>
            <w:r>
              <w:rPr>
                <w:rFonts w:hint="eastAsia" w:ascii="黑体" w:hAnsi="宋体" w:eastAsia="黑体" w:cs="黑体"/>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default" w:ascii="Times New Roman" w:hAnsi="Times New Roman" w:eastAsia="宋体" w:cs="Times New Roman"/>
                <w:sz w:val="21"/>
                <w:szCs w:val="21"/>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default" w:ascii="Times New Roman" w:hAnsi="Times New Roman" w:eastAsia="宋体" w:cs="Times New Roman"/>
                <w:sz w:val="21"/>
                <w:szCs w:val="21"/>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default" w:ascii="Times New Roman" w:hAnsi="Times New Roman" w:eastAsia="宋体" w:cs="Times New Roman"/>
                <w:sz w:val="21"/>
                <w:szCs w:val="21"/>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default" w:ascii="Times New Roman" w:hAnsi="Times New Roman" w:eastAsia="宋体" w:cs="Times New Roman"/>
                <w:sz w:val="21"/>
                <w:szCs w:val="21"/>
              </w:rPr>
              <w:t>0</w:t>
            </w: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default" w:ascii="Times New Roman" w:hAnsi="Times New Roman" w:eastAsia="宋体" w:cs="Times New Roman"/>
                <w:sz w:val="21"/>
                <w:szCs w:val="21"/>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default" w:ascii="Times New Roman" w:hAnsi="Times New Roman" w:eastAsia="宋体" w:cs="Times New Roman"/>
                <w:sz w:val="21"/>
                <w:szCs w:val="21"/>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default" w:ascii="Times New Roman" w:hAnsi="Times New Roman" w:eastAsia="宋体" w:cs="Times New Roman"/>
                <w:sz w:val="21"/>
                <w:szCs w:val="21"/>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default" w:ascii="Times New Roman" w:hAnsi="Times New Roman" w:eastAsia="宋体" w:cs="Times New Roman"/>
                <w:sz w:val="21"/>
                <w:szCs w:val="21"/>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default" w:ascii="Times New Roman" w:hAnsi="Times New Roman" w:eastAsia="宋体" w:cs="Times New Roman"/>
                <w:sz w:val="21"/>
                <w:szCs w:val="21"/>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default" w:ascii="Times New Roman" w:hAnsi="Times New Roman" w:eastAsia="宋体" w:cs="Times New Roman"/>
                <w:sz w:val="21"/>
                <w:szCs w:val="21"/>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default" w:ascii="Times New Roman" w:hAnsi="Times New Roman" w:eastAsia="宋体" w:cs="Times New Roman"/>
                <w:sz w:val="21"/>
                <w:szCs w:val="21"/>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default" w:ascii="Times New Roman" w:hAnsi="Times New Roman" w:eastAsia="宋体" w:cs="Times New Roman"/>
                <w:sz w:val="21"/>
                <w:szCs w:val="21"/>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default" w:ascii="Times New Roman" w:hAnsi="Times New Roman" w:eastAsia="宋体" w:cs="Times New Roman"/>
                <w:sz w:val="21"/>
                <w:szCs w:val="21"/>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default" w:ascii="Times New Roman" w:hAnsi="Times New Roman" w:eastAsia="宋体" w:cs="Times New Roman"/>
                <w:sz w:val="21"/>
                <w:szCs w:val="21"/>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 w:lineRule="atLeast"/>
              <w:ind w:left="0" w:right="0"/>
              <w:jc w:val="center"/>
              <w:rPr>
                <w:sz w:val="24"/>
                <w:szCs w:val="24"/>
              </w:rPr>
            </w:pPr>
            <w:r>
              <w:rPr>
                <w:rFonts w:hint="default" w:ascii="Times New Roman" w:hAnsi="Times New Roman" w:eastAsia="宋体" w:cs="Times New Roman"/>
                <w:sz w:val="21"/>
                <w:szCs w:val="21"/>
              </w:rPr>
              <w:t>0</w:t>
            </w:r>
          </w:p>
        </w:tc>
      </w:tr>
    </w:tbl>
    <w:p>
      <w:pPr>
        <w:numPr>
          <w:ilvl w:val="0"/>
          <w:numId w:val="0"/>
        </w:numPr>
        <w:rPr>
          <w:rStyle w:val="6"/>
          <w:rFonts w:hint="eastAsia" w:ascii="黑体" w:hAnsi="宋体" w:eastAsia="黑体" w:cs="黑体"/>
          <w:b w:val="0"/>
          <w:bCs/>
          <w:sz w:val="31"/>
          <w:szCs w:val="31"/>
          <w:shd w:val="clear" w:fill="FFFFFF"/>
        </w:rPr>
      </w:pPr>
      <w:r>
        <w:rPr>
          <w:rStyle w:val="6"/>
          <w:rFonts w:hint="eastAsia" w:ascii="黑体" w:hAnsi="宋体" w:eastAsia="黑体" w:cs="黑体"/>
          <w:b w:val="0"/>
          <w:bCs/>
          <w:sz w:val="31"/>
          <w:szCs w:val="31"/>
          <w:shd w:val="clear" w:fill="FFFFFF"/>
        </w:rPr>
        <w:t>五、存在的主要问题及改进情况</w:t>
      </w:r>
    </w:p>
    <w:p>
      <w:pPr>
        <w:numPr>
          <w:ilvl w:val="0"/>
          <w:numId w:val="0"/>
        </w:numPr>
        <w:ind w:firstLine="643" w:firstLineChars="200"/>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rPr>
        <w:t>（一）存在的主要问题</w:t>
      </w:r>
    </w:p>
    <w:p>
      <w:pPr>
        <w:numPr>
          <w:ilvl w:val="0"/>
          <w:numId w:val="0"/>
        </w:numPr>
        <w:ind w:firstLine="640" w:firstLineChars="200"/>
        <w:rPr>
          <w:rFonts w:hint="eastAsia" w:ascii="仿宋_GB2312" w:hAnsi="仿宋_GB2312" w:eastAsia="仿宋_GB2312" w:cs="仿宋_GB2312"/>
          <w:b w:val="0"/>
          <w:bCs w:val="0"/>
          <w:sz w:val="32"/>
          <w:szCs w:val="32"/>
          <w:shd w:val="clear" w:fill="FFFFFF"/>
        </w:rPr>
      </w:pPr>
      <w:r>
        <w:rPr>
          <w:rFonts w:hint="eastAsia" w:ascii="仿宋_GB2312" w:hAnsi="仿宋_GB2312" w:eastAsia="仿宋_GB2312" w:cs="仿宋_GB2312"/>
          <w:b w:val="0"/>
          <w:bCs w:val="0"/>
          <w:sz w:val="32"/>
          <w:szCs w:val="32"/>
          <w:shd w:val="clear" w:fill="FFFFFF"/>
        </w:rPr>
        <w:t>2022年，我镇政府着力发挥政府信息服务作用，推动政府信息公开工作有序发展，但与人民群众的期望存在一定的差距，主要表现在：一是主动公开信息的形式较为单一，发布的信息内容过于严肃，网络传播影响力有限；二是信息公开平台建设还需加强，有些目录还不完善；三是信息公开工作的制度化、规范化水平还需进一步提升等。</w:t>
      </w:r>
    </w:p>
    <w:p>
      <w:pPr>
        <w:numPr>
          <w:ilvl w:val="0"/>
          <w:numId w:val="0"/>
        </w:numPr>
        <w:ind w:firstLine="643" w:firstLineChars="200"/>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rPr>
        <w:t>（二）下一步改进措施</w:t>
      </w:r>
    </w:p>
    <w:p>
      <w:pPr>
        <w:numPr>
          <w:ilvl w:val="0"/>
          <w:numId w:val="0"/>
        </w:numPr>
        <w:ind w:firstLine="640" w:firstLineChars="200"/>
        <w:rPr>
          <w:rFonts w:hint="eastAsia" w:ascii="仿宋_GB2312" w:hAnsi="仿宋_GB2312" w:eastAsia="仿宋_GB2312" w:cs="仿宋_GB2312"/>
          <w:b w:val="0"/>
          <w:bCs w:val="0"/>
          <w:sz w:val="32"/>
          <w:szCs w:val="32"/>
          <w:shd w:val="clear" w:fill="FFFFFF"/>
        </w:rPr>
      </w:pPr>
      <w:r>
        <w:rPr>
          <w:rFonts w:hint="eastAsia" w:ascii="仿宋_GB2312" w:hAnsi="仿宋_GB2312" w:eastAsia="仿宋_GB2312" w:cs="仿宋_GB2312"/>
          <w:b w:val="0"/>
          <w:bCs w:val="0"/>
          <w:sz w:val="32"/>
          <w:szCs w:val="32"/>
          <w:shd w:val="clear" w:fill="FFFFFF"/>
        </w:rPr>
        <w:t>2023年，我镇将继续抓好政府信息公开工作：一是进一步加强内容建设，创新政府信息公开形式，以公众喜闻乐见的形式公开政府信息；二是进一步丰富信息公开平台，切实保证信息公开的全面性和及时性，在发挥媒体平台的基础上，打造全媒体信息公开格局；三是进一步健全制度，在广泛征求意见的基础上，推进信息公开工作制度化、规范化、常态化。</w:t>
      </w:r>
    </w:p>
    <w:p>
      <w:pPr>
        <w:numPr>
          <w:ilvl w:val="0"/>
          <w:numId w:val="0"/>
        </w:numPr>
        <w:rPr>
          <w:rStyle w:val="6"/>
          <w:rFonts w:hint="eastAsia" w:ascii="黑体" w:hAnsi="宋体" w:eastAsia="黑体" w:cs="黑体"/>
          <w:b w:val="0"/>
          <w:bCs/>
          <w:sz w:val="31"/>
          <w:szCs w:val="31"/>
          <w:shd w:val="clear" w:fill="FFFFFF"/>
        </w:rPr>
      </w:pPr>
      <w:r>
        <w:rPr>
          <w:rStyle w:val="6"/>
          <w:rFonts w:hint="eastAsia" w:ascii="黑体" w:hAnsi="宋体" w:eastAsia="黑体" w:cs="黑体"/>
          <w:b w:val="0"/>
          <w:bCs/>
          <w:sz w:val="31"/>
          <w:szCs w:val="31"/>
          <w:shd w:val="clear" w:fill="FFFFFF"/>
        </w:rPr>
        <w:t>六、其他需要报告的事项</w:t>
      </w:r>
    </w:p>
    <w:p>
      <w:pPr>
        <w:numPr>
          <w:ilvl w:val="0"/>
          <w:numId w:val="0"/>
        </w:numPr>
        <w:ind w:firstLine="640" w:firstLineChars="200"/>
        <w:rPr>
          <w:rFonts w:hint="eastAsia" w:ascii="仿宋_GB2312" w:hAnsi="仿宋_GB2312" w:eastAsia="仿宋_GB2312" w:cs="仿宋_GB2312"/>
          <w:b w:val="0"/>
          <w:bCs w:val="0"/>
          <w:sz w:val="32"/>
          <w:szCs w:val="32"/>
          <w:shd w:val="clear" w:fill="FFFFFF"/>
          <w:lang w:eastAsia="zh-CN"/>
        </w:rPr>
      </w:pPr>
      <w:r>
        <w:rPr>
          <w:rFonts w:hint="eastAsia" w:ascii="仿宋_GB2312" w:hAnsi="仿宋_GB2312" w:eastAsia="仿宋_GB2312" w:cs="仿宋_GB2312"/>
          <w:b w:val="0"/>
          <w:bCs w:val="0"/>
          <w:sz w:val="32"/>
          <w:szCs w:val="32"/>
          <w:shd w:val="clear" w:fill="FFFFFF"/>
          <w:lang w:eastAsia="zh-CN"/>
        </w:rPr>
        <w:t>2022年，按照《国务院办公厅关于印发〈政府信息公开信息处理费管理办法〉的通知》（国办函〔2020〕109号）规定的按件、按量收费标准，没有产生信息公开处理费，共收到人大建议0件，政协提案0件。</w:t>
      </w:r>
    </w:p>
    <w:p>
      <w:pPr>
        <w:numPr>
          <w:ilvl w:val="0"/>
          <w:numId w:val="0"/>
        </w:numPr>
        <w:rPr>
          <w:rStyle w:val="6"/>
          <w:rFonts w:hint="eastAsia" w:ascii="仿宋_GB2312" w:hAnsi="仿宋_GB2312" w:eastAsia="仿宋_GB2312" w:cs="仿宋_GB2312"/>
          <w:b w:val="0"/>
          <w:bCs/>
          <w:sz w:val="32"/>
          <w:szCs w:val="32"/>
          <w:shd w:val="clear" w:fill="FFFFFF"/>
        </w:rPr>
      </w:pPr>
    </w:p>
    <w:p>
      <w:pPr>
        <w:numPr>
          <w:ilvl w:val="0"/>
          <w:numId w:val="0"/>
        </w:numPr>
        <w:rPr>
          <w:rStyle w:val="6"/>
          <w:rFonts w:hint="eastAsia" w:ascii="仿宋_GB2312" w:hAnsi="仿宋_GB2312" w:eastAsia="仿宋_GB2312" w:cs="仿宋_GB2312"/>
          <w:b w:val="0"/>
          <w:bCs/>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700F3"/>
    <w:rsid w:val="1FD51819"/>
    <w:rsid w:val="69270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中国土木</Company>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2023-01-19T02:44:00Z</dcterms:created>
  <dc:creator>无名</dc:creator>
  <cp:lastModifiedBy>无名</cp:lastModifiedBy>
  <dcterms:modified xsi:type="dcterms:W3CDTF">2023-01-19T03:00:45Z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