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6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解读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《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聊城市工业和信息化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局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6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2022年政府信息公开工作年度报告》 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1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1、《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聊城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市工业和信息化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2022年政府信息公开工作年度报告》的编制依据是什么？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我局2022年年度报告是根据新修订的《中华人民共和国政府信息公开条例》和国务院办和省政府办公厅，对年度报告编制要求，以及聊城市政府对政务公开工作的要求，汇总机关政务信息公开统计数据编制而成，包括在政府网站和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“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聊城工信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”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所公开的信息数据。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1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2、该报告的主要内容有哪些？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1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报告从总体情况，主动公开政府信息情况，收到和处理政府信息公开申请情况，政府信息公开行政复议、行政诉讼情况，存在的主要问题及改进措施，其他需要报告的事项6个部分进行阐述。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1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3、该报告所列数据的时间跨度是什么？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1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本年度报告中所列数据统计期限从2022年1月1日到2022年12月31日止。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4、聊城市工业和信息化局2022年度政府信息公开工作的渠道有哪些？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目前我局政府信息公开的主要渠道有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聊城</w:t>
      </w:r>
      <w:r>
        <w:rPr>
          <w:rFonts w:hint="eastAsia" w:ascii="仿宋_GB2312" w:hAnsi="仿宋_GB2312" w:eastAsia="仿宋_GB2312" w:cs="仿宋_GB2312"/>
          <w:sz w:val="32"/>
          <w:szCs w:val="32"/>
        </w:rPr>
        <w:t>市人民政府网站、</w:t>
      </w:r>
      <w:r>
        <w:rPr>
          <w:rFonts w:hint="eastAsia" w:ascii="仿宋_GB2312" w:hAnsi="仿宋_GB2312" w:eastAsia="仿宋_GB2312" w:cs="仿宋_GB2312"/>
          <w:sz w:val="32"/>
          <w:szCs w:val="32"/>
        </w:rPr>
        <w:t>聊城市工业和信息化局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网站、微信公众号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聊城工信</w:t>
      </w:r>
      <w:r>
        <w:rPr>
          <w:rFonts w:hint="eastAsia" w:ascii="仿宋_GB2312" w:hAnsi="仿宋_GB2312" w:eastAsia="仿宋_GB2312" w:cs="仿宋_GB2312"/>
          <w:sz w:val="32"/>
          <w:szCs w:val="32"/>
        </w:rPr>
        <w:t>”等网络平台以及线下公开渠道。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ODc2M2E4MjRlNTllNDAyOWY2MDNkMDE4YjI1YjEifQ=="/>
  </w:docVars>
  <w:rsids>
    <w:rsidRoot w:val="00000000"/>
    <w:rsid w:val="059A2174"/>
    <w:rsid w:val="170E31F4"/>
    <w:rsid w:val="1B122EC0"/>
    <w:rsid w:val="22356A28"/>
    <w:rsid w:val="2B7730F4"/>
    <w:rsid w:val="3B082A5D"/>
    <w:rsid w:val="3BC702B9"/>
    <w:rsid w:val="3C922AA2"/>
    <w:rsid w:val="71D84CE0"/>
    <w:rsid w:val="76A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42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_GB2312"/>
    </w:rPr>
  </w:style>
  <w:style w:type="paragraph" w:styleId="5">
    <w:name w:val="heading 4"/>
    <w:basedOn w:val="1"/>
    <w:next w:val="1"/>
    <w:link w:val="12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Arial" w:hAnsi="Arial" w:eastAsia="仿宋_GB2312"/>
      <w:b/>
      <w:sz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标题 3 Char"/>
    <w:link w:val="4"/>
    <w:uiPriority w:val="0"/>
    <w:rPr>
      <w:rFonts w:eastAsia="楷体_GB2312"/>
      <w:sz w:val="32"/>
    </w:rPr>
  </w:style>
  <w:style w:type="character" w:customStyle="1" w:styleId="12">
    <w:name w:val="标题 4 Char"/>
    <w:link w:val="5"/>
    <w:uiPriority w:val="0"/>
    <w:rPr>
      <w:rFonts w:ascii="Arial" w:hAnsi="Arial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446</Characters>
  <Lines>0</Lines>
  <Paragraphs>0</Paragraphs>
  <TotalTime>2</TotalTime>
  <ScaleCrop>false</ScaleCrop>
  <LinksUpToDate>false</LinksUpToDate>
  <CharactersWithSpaces>446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2021-08-31T12:11:00Z</dcterms:created>
  <dc:creator>lenovo</dc:creator>
  <cp:lastModifiedBy>lenovo</cp:lastModifiedBy>
  <dcterms:modified xsi:type="dcterms:W3CDTF">2023-02-02T06:41:49Z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D91A2F39191F47BCB5F60E24A423101E</vt:lpwstr>
  </property>
</Properties>
</file>