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C8" w:rsidRPr="00C10CC8" w:rsidRDefault="00C10CC8" w:rsidP="00C10CC8">
      <w:pPr>
        <w:widowControl/>
        <w:shd w:val="clear" w:color="auto" w:fill="FFFFFF"/>
        <w:spacing w:before="210" w:after="210" w:line="360" w:lineRule="atLeast"/>
        <w:ind w:firstLine="420"/>
        <w:jc w:val="center"/>
        <w:rPr>
          <w:rFonts w:ascii="Arial" w:eastAsia="宋体" w:hAnsi="Arial" w:cs="Arial"/>
          <w:kern w:val="0"/>
          <w:sz w:val="24"/>
          <w:szCs w:val="24"/>
        </w:rPr>
      </w:pPr>
      <w:proofErr w:type="gramStart"/>
      <w:r w:rsidRPr="00C10CC8">
        <w:rPr>
          <w:rFonts w:ascii="微软雅黑" w:eastAsia="微软雅黑" w:hAnsi="微软雅黑" w:cs="Arial" w:hint="eastAsia"/>
          <w:color w:val="333333"/>
          <w:kern w:val="0"/>
          <w:sz w:val="23"/>
          <w:szCs w:val="23"/>
          <w:shd w:val="clear" w:color="auto" w:fill="FFFFFF"/>
        </w:rPr>
        <w:t>尚店镇</w:t>
      </w:r>
      <w:proofErr w:type="gramEnd"/>
      <w:r w:rsidRPr="00C10CC8">
        <w:rPr>
          <w:rFonts w:ascii="微软雅黑" w:eastAsia="微软雅黑" w:hAnsi="微软雅黑" w:cs="Arial" w:hint="eastAsia"/>
          <w:color w:val="333333"/>
          <w:kern w:val="0"/>
          <w:sz w:val="23"/>
          <w:szCs w:val="23"/>
          <w:shd w:val="clear" w:color="auto" w:fill="FFFFFF"/>
        </w:rPr>
        <w:t>政府信息公开工作年度报告</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根据《中华人民共和国政府信息公开条例》(以下简称《条例》)的规定和有关文件要求，结合我镇工作实际，及时、准确地向社会公开政府信息，保障公民知情权，参与权和监督权，把推进政府信息公开与转变政府职能、规范权力运行、促进依法行政紧密结合起来，现</w:t>
      </w:r>
      <w:proofErr w:type="gramStart"/>
      <w:r w:rsidRPr="00C10CC8">
        <w:rPr>
          <w:rFonts w:ascii="微软雅黑" w:eastAsia="微软雅黑" w:hAnsi="微软雅黑" w:cs="Arial" w:hint="eastAsia"/>
          <w:kern w:val="0"/>
          <w:sz w:val="23"/>
          <w:szCs w:val="23"/>
        </w:rPr>
        <w:t>公布尚店镇</w:t>
      </w:r>
      <w:proofErr w:type="gramEnd"/>
      <w:r w:rsidRPr="00C10CC8">
        <w:rPr>
          <w:rFonts w:ascii="微软雅黑" w:eastAsia="微软雅黑" w:hAnsi="微软雅黑" w:cs="Arial" w:hint="eastAsia"/>
          <w:kern w:val="0"/>
          <w:sz w:val="23"/>
          <w:szCs w:val="23"/>
        </w:rPr>
        <w:t>2020年政府信息公开工作年度报告。</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本报告由总体情况、主动公开政府信息情况、收到和处理政府信息公开申请情况、政府信息公开行政复议、行政诉讼情况、存在的主要问题及改进情况、其他需要报告的事项六部分组成。统计时限为2020年1月1日—2020年12月31日。</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color w:val="333333"/>
          <w:kern w:val="0"/>
          <w:sz w:val="23"/>
          <w:szCs w:val="23"/>
          <w:shd w:val="clear" w:color="auto" w:fill="FFFFFF"/>
        </w:rPr>
        <w:t>一、总体情况</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1.年度工作基本情况。截止2020年12月31日，镇政府信息公开全年累计主动公开政府信息140条，累计作为依申请公开信息0条，不予公开信息0条，受理公民个人提出的政府信息公开申请0条。</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2.工作要点部署落实情况。镇政府根据公开要求，把政府信息主动公开工作作为推进依法行政的重要手段，不断扩大公开范围，细化公开内容，把属于涉及公共利益、公众权益、社会关切及需要社会广泛知晓的，依法、全面、准确、及时进行公开。</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3.组织机构及人员情况。2020年，我镇根据人员的变动及时调整和充实信息公开工作人员，全镇政府信息公开工作在领导小组的指导下并依托党政办公室的具体开展，与去年相同安排一名政府信息公开人员。</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lastRenderedPageBreak/>
        <w:t>4.制度建设及落实情况。一是完善健全政府信息主动公开制度。明确政府信息公开的职责、内容、程序、方式和时限要求。二是完善健全政府信息依申请公开制度。制定依申请公开的工作规程，明确申请的受理、审查、处理、答复等各个环节的具体要求。三是完善健全政府信息保密审查制度。完善保密审查制度和管理制度，明确有关保密审查的职责分工、审查程序和责任追究办法，严格执行一事一审，确保不发生泄密问题。保密部门依照职权对政府信息公开的保密审查工作进行指导和监督检查。四是完善健全政府信息发布协调机制。发布的政府信息涉及其他行政机关的，要求发布机关在公开该政府信息前，应当与所涉及的其他行政机关进行沟通、确认，保证公开的政府信息准确一致。五是规范行政权力运行机制。根据全市统一部署，配合区规范进一步规范行政权力运行，在区政府门户网站公开内</w:t>
      </w:r>
      <w:proofErr w:type="gramStart"/>
      <w:r w:rsidRPr="00C10CC8">
        <w:rPr>
          <w:rFonts w:ascii="微软雅黑" w:eastAsia="微软雅黑" w:hAnsi="微软雅黑" w:cs="Arial" w:hint="eastAsia"/>
          <w:kern w:val="0"/>
          <w:sz w:val="23"/>
          <w:szCs w:val="23"/>
        </w:rPr>
        <w:t>厝</w:t>
      </w:r>
      <w:proofErr w:type="gramEnd"/>
      <w:r w:rsidRPr="00C10CC8">
        <w:rPr>
          <w:rFonts w:ascii="微软雅黑" w:eastAsia="微软雅黑" w:hAnsi="微软雅黑" w:cs="Arial" w:hint="eastAsia"/>
          <w:kern w:val="0"/>
          <w:sz w:val="23"/>
          <w:szCs w:val="23"/>
        </w:rPr>
        <w:t>镇权责清单和便民服务指南，推进行政权力公开透明运行。六是完善行政权力运行监控机制。制定切合实际、行之有效的防范措施，切实加强廉政风险防控，防止权力滥用和腐败行为发生。</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5.渠道建设及利用情况。充分利用网站信息公开及时、受益面广的显著优势，依托临清市政府网站持续开展政府信息公开共工作，2020年主动公开政府信息140条。</w:t>
      </w:r>
    </w:p>
    <w:p w:rsidR="00C10CC8" w:rsidRPr="00C10CC8" w:rsidRDefault="00C10CC8" w:rsidP="00C10CC8">
      <w:pPr>
        <w:widowControl/>
        <w:shd w:val="clear" w:color="auto" w:fill="FFFFFF"/>
        <w:spacing w:before="210" w:after="240" w:line="360" w:lineRule="atLeast"/>
        <w:ind w:firstLine="420"/>
        <w:rPr>
          <w:rFonts w:ascii="Arial" w:eastAsia="宋体" w:hAnsi="Arial" w:cs="Arial"/>
          <w:kern w:val="0"/>
          <w:sz w:val="24"/>
          <w:szCs w:val="24"/>
        </w:rPr>
      </w:pPr>
      <w:r w:rsidRPr="00C10CC8">
        <w:rPr>
          <w:rFonts w:ascii="微软雅黑" w:eastAsia="微软雅黑" w:hAnsi="微软雅黑" w:cs="Arial" w:hint="eastAsia"/>
          <w:color w:val="333333"/>
          <w:kern w:val="0"/>
          <w:sz w:val="23"/>
          <w:szCs w:val="23"/>
          <w:shd w:val="clear" w:color="auto" w:fill="FFFFFF"/>
        </w:rPr>
        <w:t>二、主动公开政府信息情况</w:t>
      </w:r>
    </w:p>
    <w:tbl>
      <w:tblPr>
        <w:tblW w:w="8715"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3075"/>
        <w:gridCol w:w="15"/>
        <w:gridCol w:w="2100"/>
        <w:gridCol w:w="1500"/>
        <w:gridCol w:w="2025"/>
      </w:tblGrid>
      <w:tr w:rsidR="00C10CC8" w:rsidRPr="00C10CC8" w:rsidTr="00C10CC8">
        <w:trPr>
          <w:trHeight w:val="60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第二十条第(一)项</w:t>
            </w:r>
          </w:p>
        </w:tc>
      </w:tr>
      <w:tr w:rsidR="00C10CC8" w:rsidRPr="00C10CC8" w:rsidTr="00C10CC8">
        <w:trPr>
          <w:trHeight w:val="870"/>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信息内容</w:t>
            </w:r>
          </w:p>
        </w:tc>
        <w:tc>
          <w:tcPr>
            <w:tcW w:w="2115" w:type="dxa"/>
            <w:gridSpan w:val="2"/>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本年新制作数量</w:t>
            </w:r>
          </w:p>
        </w:tc>
        <w:tc>
          <w:tcPr>
            <w:tcW w:w="1500" w:type="dxa"/>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本年新</w:t>
            </w:r>
            <w:r w:rsidRPr="00C10CC8">
              <w:rPr>
                <w:rFonts w:ascii="微软雅黑" w:eastAsia="微软雅黑" w:hAnsi="微软雅黑" w:cs="Arial" w:hint="eastAsia"/>
                <w:color w:val="000000"/>
                <w:kern w:val="0"/>
                <w:sz w:val="23"/>
                <w:szCs w:val="23"/>
              </w:rPr>
              <w:br/>
              <w:t>公开数量</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对外公开</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总数量</w:t>
            </w:r>
          </w:p>
        </w:tc>
      </w:tr>
      <w:tr w:rsidR="00C10CC8" w:rsidRPr="00C10CC8" w:rsidTr="00C10CC8">
        <w:trPr>
          <w:trHeight w:val="40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lastRenderedPageBreak/>
              <w:t>规章</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0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规范性文件</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80"/>
        </w:trPr>
        <w:tc>
          <w:tcPr>
            <w:tcW w:w="8715" w:type="dxa"/>
            <w:gridSpan w:val="5"/>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第二十条第(五)项</w:t>
            </w:r>
          </w:p>
        </w:tc>
      </w:tr>
      <w:tr w:rsidR="00C10CC8" w:rsidRPr="00C10CC8" w:rsidTr="00C10CC8">
        <w:trPr>
          <w:trHeight w:val="510"/>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信息内容</w:t>
            </w:r>
          </w:p>
        </w:tc>
        <w:tc>
          <w:tcPr>
            <w:tcW w:w="2115" w:type="dxa"/>
            <w:gridSpan w:val="2"/>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上一年项目数量</w:t>
            </w:r>
          </w:p>
        </w:tc>
        <w:tc>
          <w:tcPr>
            <w:tcW w:w="1500" w:type="dxa"/>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本年增/减</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处理决定数量</w:t>
            </w:r>
          </w:p>
        </w:tc>
      </w:tr>
      <w:tr w:rsidR="00C10CC8" w:rsidRPr="00C10CC8" w:rsidTr="00C10CC8">
        <w:trPr>
          <w:trHeight w:val="450"/>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行政许可</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55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其他对外管理服务事项</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95"/>
        </w:trPr>
        <w:tc>
          <w:tcPr>
            <w:tcW w:w="8715" w:type="dxa"/>
            <w:gridSpan w:val="5"/>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第二十条第(六)项</w:t>
            </w:r>
          </w:p>
        </w:tc>
      </w:tr>
      <w:tr w:rsidR="00C10CC8" w:rsidRPr="00C10CC8" w:rsidTr="00C10CC8">
        <w:trPr>
          <w:trHeight w:val="540"/>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信息内容</w:t>
            </w:r>
          </w:p>
        </w:tc>
        <w:tc>
          <w:tcPr>
            <w:tcW w:w="2115" w:type="dxa"/>
            <w:gridSpan w:val="2"/>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上一年项目数量</w:t>
            </w:r>
          </w:p>
        </w:tc>
        <w:tc>
          <w:tcPr>
            <w:tcW w:w="1500" w:type="dxa"/>
            <w:tcBorders>
              <w:top w:val="single" w:sz="6" w:space="0" w:color="auto"/>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本年增/减</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处理决定数量</w:t>
            </w:r>
          </w:p>
        </w:tc>
      </w:tr>
      <w:tr w:rsidR="00C10CC8" w:rsidRPr="00C10CC8" w:rsidTr="00C10CC8">
        <w:trPr>
          <w:trHeight w:val="43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行政处罚</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0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行政强制</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15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2025"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80"/>
        </w:trPr>
        <w:tc>
          <w:tcPr>
            <w:tcW w:w="8715" w:type="dxa"/>
            <w:gridSpan w:val="5"/>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第二十条第(八)项</w:t>
            </w:r>
          </w:p>
        </w:tc>
      </w:tr>
      <w:tr w:rsidR="00C10CC8" w:rsidRPr="00C10CC8" w:rsidTr="00C10CC8">
        <w:trPr>
          <w:trHeight w:val="450"/>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信息内容</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上一年项目数量</w:t>
            </w:r>
          </w:p>
        </w:tc>
        <w:tc>
          <w:tcPr>
            <w:tcW w:w="3525" w:type="dxa"/>
            <w:gridSpan w:val="2"/>
            <w:tcBorders>
              <w:top w:val="single" w:sz="6" w:space="0" w:color="auto"/>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本年增/减</w:t>
            </w:r>
          </w:p>
        </w:tc>
      </w:tr>
      <w:tr w:rsidR="00C10CC8" w:rsidRPr="00C10CC8" w:rsidTr="00C10CC8">
        <w:trPr>
          <w:trHeight w:val="435"/>
        </w:trPr>
        <w:tc>
          <w:tcPr>
            <w:tcW w:w="3075" w:type="dxa"/>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行政事业性收费</w:t>
            </w:r>
          </w:p>
        </w:tc>
        <w:tc>
          <w:tcPr>
            <w:tcW w:w="2115" w:type="dxa"/>
            <w:gridSpan w:val="2"/>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352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r w:rsidR="00C10CC8" w:rsidRPr="00C10CC8" w:rsidTr="00C10CC8">
        <w:trPr>
          <w:trHeight w:val="480"/>
        </w:trPr>
        <w:tc>
          <w:tcPr>
            <w:tcW w:w="8715" w:type="dxa"/>
            <w:gridSpan w:val="5"/>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第二十条第(九)项</w:t>
            </w:r>
          </w:p>
        </w:tc>
      </w:tr>
      <w:tr w:rsidR="00C10CC8" w:rsidRPr="00C10CC8" w:rsidTr="00C10CC8">
        <w:trPr>
          <w:trHeight w:val="420"/>
        </w:trPr>
        <w:tc>
          <w:tcPr>
            <w:tcW w:w="3090" w:type="dxa"/>
            <w:gridSpan w:val="2"/>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lastRenderedPageBreak/>
              <w:t>信息内容</w:t>
            </w:r>
          </w:p>
        </w:tc>
        <w:tc>
          <w:tcPr>
            <w:tcW w:w="21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采购项目数量</w:t>
            </w:r>
          </w:p>
        </w:tc>
        <w:tc>
          <w:tcPr>
            <w:tcW w:w="3525" w:type="dxa"/>
            <w:gridSpan w:val="2"/>
            <w:tcBorders>
              <w:top w:val="single" w:sz="6" w:space="0" w:color="auto"/>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proofErr w:type="gramStart"/>
            <w:r w:rsidRPr="00C10CC8">
              <w:rPr>
                <w:rFonts w:ascii="微软雅黑" w:eastAsia="微软雅黑" w:hAnsi="微软雅黑" w:cs="Arial" w:hint="eastAsia"/>
                <w:color w:val="000000"/>
                <w:kern w:val="0"/>
                <w:sz w:val="23"/>
                <w:szCs w:val="23"/>
              </w:rPr>
              <w:t>采购总</w:t>
            </w:r>
            <w:proofErr w:type="gramEnd"/>
            <w:r w:rsidRPr="00C10CC8">
              <w:rPr>
                <w:rFonts w:ascii="微软雅黑" w:eastAsia="微软雅黑" w:hAnsi="微软雅黑" w:cs="Arial" w:hint="eastAsia"/>
                <w:color w:val="000000"/>
                <w:kern w:val="0"/>
                <w:sz w:val="23"/>
                <w:szCs w:val="23"/>
              </w:rPr>
              <w:t>金额</w:t>
            </w:r>
          </w:p>
        </w:tc>
      </w:tr>
      <w:tr w:rsidR="00C10CC8" w:rsidRPr="00C10CC8" w:rsidTr="00C10CC8">
        <w:trPr>
          <w:trHeight w:val="465"/>
        </w:trPr>
        <w:tc>
          <w:tcPr>
            <w:tcW w:w="3090" w:type="dxa"/>
            <w:gridSpan w:val="2"/>
            <w:tcBorders>
              <w:top w:val="single" w:sz="6"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政府集中采购</w:t>
            </w:r>
          </w:p>
        </w:tc>
        <w:tc>
          <w:tcPr>
            <w:tcW w:w="2100" w:type="dxa"/>
            <w:tcBorders>
              <w:top w:val="single" w:sz="6" w:space="0" w:color="000000"/>
              <w:left w:val="single" w:sz="6" w:space="0" w:color="000000"/>
              <w:bottom w:val="single" w:sz="6" w:space="0" w:color="auto"/>
              <w:right w:val="single" w:sz="6" w:space="0" w:color="auto"/>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352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r>
    </w:tbl>
    <w:p w:rsidR="00C10CC8" w:rsidRPr="00C10CC8" w:rsidRDefault="00C10CC8" w:rsidP="00C10CC8">
      <w:pPr>
        <w:widowControl/>
        <w:shd w:val="clear" w:color="auto" w:fill="FFFFFF"/>
        <w:spacing w:before="210" w:after="240" w:line="360" w:lineRule="atLeast"/>
        <w:ind w:firstLine="420"/>
        <w:rPr>
          <w:rFonts w:ascii="Arial" w:eastAsia="宋体" w:hAnsi="Arial" w:cs="Arial"/>
          <w:kern w:val="0"/>
          <w:sz w:val="24"/>
          <w:szCs w:val="24"/>
        </w:rPr>
      </w:pPr>
      <w:r w:rsidRPr="00C10CC8">
        <w:rPr>
          <w:rFonts w:ascii="微软雅黑" w:eastAsia="微软雅黑" w:hAnsi="微软雅黑" w:cs="Arial" w:hint="eastAsia"/>
          <w:color w:val="333333"/>
          <w:kern w:val="0"/>
          <w:sz w:val="23"/>
          <w:szCs w:val="23"/>
          <w:shd w:val="clear" w:color="auto" w:fill="FFFFFF"/>
        </w:rPr>
        <w:t>三、收到和处理政府信息公开申请情况</w:t>
      </w:r>
    </w:p>
    <w:tbl>
      <w:tblPr>
        <w:tblW w:w="9075"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1090"/>
        <w:gridCol w:w="1030"/>
        <w:gridCol w:w="935"/>
        <w:gridCol w:w="860"/>
        <w:gridCol w:w="860"/>
        <w:gridCol w:w="860"/>
        <w:gridCol w:w="860"/>
        <w:gridCol w:w="860"/>
        <w:gridCol w:w="860"/>
        <w:gridCol w:w="860"/>
      </w:tblGrid>
      <w:tr w:rsidR="00C10CC8" w:rsidRPr="00C10CC8" w:rsidTr="00C10CC8">
        <w:trPr>
          <w:trHeight w:val="420"/>
        </w:trPr>
        <w:tc>
          <w:tcPr>
            <w:tcW w:w="478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(本列数据的勾</w:t>
            </w:r>
            <w:proofErr w:type="gramStart"/>
            <w:r w:rsidRPr="00C10CC8">
              <w:rPr>
                <w:rFonts w:ascii="微软雅黑" w:eastAsia="微软雅黑" w:hAnsi="微软雅黑" w:cs="Arial" w:hint="eastAsia"/>
                <w:kern w:val="0"/>
                <w:sz w:val="23"/>
                <w:szCs w:val="23"/>
              </w:rPr>
              <w:t>稽</w:t>
            </w:r>
            <w:proofErr w:type="gramEnd"/>
            <w:r w:rsidRPr="00C10CC8">
              <w:rPr>
                <w:rFonts w:ascii="微软雅黑" w:eastAsia="微软雅黑" w:hAnsi="微软雅黑" w:cs="Arial" w:hint="eastAsia"/>
                <w:kern w:val="0"/>
                <w:sz w:val="23"/>
                <w:szCs w:val="23"/>
              </w:rPr>
              <w:t>关系为:第一项加第二项之和，</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等于第三项加第四项之和)</w:t>
            </w:r>
          </w:p>
        </w:tc>
        <w:tc>
          <w:tcPr>
            <w:tcW w:w="4290" w:type="dxa"/>
            <w:gridSpan w:val="7"/>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申请人情况</w:t>
            </w:r>
          </w:p>
        </w:tc>
      </w:tr>
      <w:tr w:rsidR="00C10CC8" w:rsidRPr="00C10CC8" w:rsidTr="00C10CC8">
        <w:trPr>
          <w:trHeight w:val="42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855" w:type="dxa"/>
            <w:vMerge w:val="restart"/>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自然人</w:t>
            </w:r>
          </w:p>
        </w:tc>
        <w:tc>
          <w:tcPr>
            <w:tcW w:w="2805" w:type="dxa"/>
            <w:gridSpan w:val="5"/>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法人或其他组织</w:t>
            </w:r>
          </w:p>
        </w:tc>
        <w:tc>
          <w:tcPr>
            <w:tcW w:w="630" w:type="dxa"/>
            <w:vMerge w:val="restart"/>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总计</w:t>
            </w:r>
          </w:p>
        </w:tc>
      </w:tr>
      <w:tr w:rsidR="00C10CC8" w:rsidRPr="00C10CC8" w:rsidTr="00C10CC8">
        <w:trPr>
          <w:trHeight w:val="112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商业企业</w:t>
            </w: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科研机构</w:t>
            </w:r>
          </w:p>
        </w:tc>
        <w:tc>
          <w:tcPr>
            <w:tcW w:w="57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社会公益组织</w:t>
            </w:r>
          </w:p>
        </w:tc>
        <w:tc>
          <w:tcPr>
            <w:tcW w:w="57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法律服务机构</w:t>
            </w:r>
          </w:p>
        </w:tc>
        <w:tc>
          <w:tcPr>
            <w:tcW w:w="54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其他</w:t>
            </w:r>
          </w:p>
        </w:tc>
        <w:tc>
          <w:tcPr>
            <w:tcW w:w="0" w:type="auto"/>
            <w:vMerge/>
            <w:tcBorders>
              <w:top w:val="single" w:sz="6" w:space="0" w:color="auto"/>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4785" w:type="dxa"/>
            <w:gridSpan w:val="3"/>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一、本年新收政府信息公开申请数量</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4785" w:type="dxa"/>
            <w:gridSpan w:val="3"/>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二、上年结转政府信息公开申请数量</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525" w:type="dxa"/>
            <w:vMerge w:val="restart"/>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after="180"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三、本年度</w:t>
            </w:r>
            <w:r w:rsidRPr="00C10CC8">
              <w:rPr>
                <w:rFonts w:ascii="微软雅黑" w:eastAsia="微软雅黑" w:hAnsi="微软雅黑" w:cs="Arial" w:hint="eastAsia"/>
                <w:kern w:val="0"/>
                <w:sz w:val="23"/>
                <w:szCs w:val="23"/>
              </w:rPr>
              <w:lastRenderedPageBreak/>
              <w:t>办理结果</w:t>
            </w:r>
          </w:p>
        </w:tc>
        <w:tc>
          <w:tcPr>
            <w:tcW w:w="4260"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lastRenderedPageBreak/>
              <w:t>(</w:t>
            </w:r>
            <w:proofErr w:type="gramStart"/>
            <w:r w:rsidRPr="00C10CC8">
              <w:rPr>
                <w:rFonts w:ascii="微软雅黑" w:eastAsia="微软雅黑" w:hAnsi="微软雅黑" w:cs="Arial" w:hint="eastAsia"/>
                <w:kern w:val="0"/>
                <w:sz w:val="23"/>
                <w:szCs w:val="23"/>
              </w:rPr>
              <w:t>一</w:t>
            </w:r>
            <w:proofErr w:type="gramEnd"/>
            <w:r w:rsidRPr="00C10CC8">
              <w:rPr>
                <w:rFonts w:ascii="微软雅黑" w:eastAsia="微软雅黑" w:hAnsi="微软雅黑" w:cs="Arial" w:hint="eastAsia"/>
                <w:kern w:val="0"/>
                <w:sz w:val="23"/>
                <w:szCs w:val="23"/>
              </w:rPr>
              <w:t>)予以公开</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4260"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(二)部分公开(区分处理的，只</w:t>
            </w:r>
            <w:r w:rsidRPr="00C10CC8">
              <w:rPr>
                <w:rFonts w:ascii="微软雅黑" w:eastAsia="微软雅黑" w:hAnsi="微软雅黑" w:cs="Arial" w:hint="eastAsia"/>
                <w:kern w:val="0"/>
                <w:sz w:val="23"/>
                <w:szCs w:val="23"/>
              </w:rPr>
              <w:lastRenderedPageBreak/>
              <w:t>计这一情形，不计其他情形)</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1425" w:type="dxa"/>
            <w:vMerge w:val="restart"/>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(三)不予公开</w:t>
            </w: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1.属于国家秘密</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2.其他法律行政法规禁止公开</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3.危及“三安全</w:t>
            </w:r>
            <w:proofErr w:type="gramStart"/>
            <w:r w:rsidRPr="00C10CC8">
              <w:rPr>
                <w:rFonts w:ascii="微软雅黑" w:eastAsia="微软雅黑" w:hAnsi="微软雅黑" w:cs="Arial" w:hint="eastAsia"/>
                <w:kern w:val="0"/>
                <w:sz w:val="23"/>
                <w:szCs w:val="23"/>
              </w:rPr>
              <w:t>一</w:t>
            </w:r>
            <w:proofErr w:type="gramEnd"/>
            <w:r w:rsidRPr="00C10CC8">
              <w:rPr>
                <w:rFonts w:ascii="微软雅黑" w:eastAsia="微软雅黑" w:hAnsi="微软雅黑" w:cs="Arial" w:hint="eastAsia"/>
                <w:kern w:val="0"/>
                <w:sz w:val="23"/>
                <w:szCs w:val="23"/>
              </w:rPr>
              <w:t>稳定”</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4.保护第三方合法权益</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5.属于三类内部事务信息</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6.属于四类过程性信息</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7.属于行政执法案卷</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8.属于行政查询事项</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1425" w:type="dxa"/>
            <w:vMerge w:val="restart"/>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(四)无法提供</w:t>
            </w: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1.本机关</w:t>
            </w:r>
            <w:r w:rsidRPr="00C10CC8">
              <w:rPr>
                <w:rFonts w:ascii="微软雅黑" w:eastAsia="微软雅黑" w:hAnsi="微软雅黑" w:cs="Arial" w:hint="eastAsia"/>
                <w:kern w:val="0"/>
                <w:sz w:val="23"/>
                <w:szCs w:val="23"/>
              </w:rPr>
              <w:lastRenderedPageBreak/>
              <w:t>不掌握相关政府信息</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bottom"/>
            <w:hideMark/>
          </w:tcPr>
          <w:p w:rsidR="00C10CC8" w:rsidRPr="00C10CC8" w:rsidRDefault="00C10CC8" w:rsidP="00C10CC8">
            <w:pPr>
              <w:widowControl/>
              <w:wordWrap w:val="0"/>
              <w:spacing w:after="180"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lastRenderedPageBreak/>
              <w:t>1</w:t>
            </w: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2.没有现成信息需要另行制作</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3.补正后申请内容仍不明确</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1425" w:type="dxa"/>
            <w:vMerge w:val="restart"/>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(五)</w:t>
            </w:r>
            <w:proofErr w:type="gramStart"/>
            <w:r w:rsidRPr="00C10CC8">
              <w:rPr>
                <w:rFonts w:ascii="微软雅黑" w:eastAsia="微软雅黑" w:hAnsi="微软雅黑" w:cs="Arial" w:hint="eastAsia"/>
                <w:kern w:val="0"/>
                <w:sz w:val="23"/>
                <w:szCs w:val="23"/>
              </w:rPr>
              <w:t>不予处理</w:t>
            </w:r>
            <w:proofErr w:type="gramEnd"/>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1.信访举报投诉类申请</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2.重复申请</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45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3.要求提供公开出版物</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39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4.无正当理由大量反复申请</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283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0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5.要求行政机关确认或重新</w:t>
            </w:r>
          </w:p>
          <w:p w:rsidR="00C10CC8" w:rsidRPr="00C10CC8" w:rsidRDefault="00C10CC8" w:rsidP="00C10CC8">
            <w:pPr>
              <w:widowControl/>
              <w:wordWrap w:val="0"/>
              <w:spacing w:before="105" w:after="105" w:line="30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lastRenderedPageBreak/>
              <w:t>出具已获取信息</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39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4260"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(六)其他处理</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rPr>
          <w:trHeight w:val="39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4260" w:type="dxa"/>
            <w:gridSpan w:val="2"/>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(七)总计</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r w:rsidR="00C10CC8" w:rsidRPr="00C10CC8" w:rsidTr="00C10CC8">
        <w:tc>
          <w:tcPr>
            <w:tcW w:w="4785" w:type="dxa"/>
            <w:gridSpan w:val="3"/>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left"/>
              <w:rPr>
                <w:rFonts w:ascii="Arial" w:eastAsia="宋体" w:hAnsi="Arial" w:cs="Arial"/>
                <w:kern w:val="0"/>
                <w:sz w:val="24"/>
                <w:szCs w:val="24"/>
              </w:rPr>
            </w:pPr>
            <w:r w:rsidRPr="00C10CC8">
              <w:rPr>
                <w:rFonts w:ascii="微软雅黑" w:eastAsia="微软雅黑" w:hAnsi="微软雅黑" w:cs="Arial" w:hint="eastAsia"/>
                <w:kern w:val="0"/>
                <w:sz w:val="23"/>
                <w:szCs w:val="23"/>
              </w:rPr>
              <w:t>四、结转下年度继续办理</w:t>
            </w:r>
          </w:p>
        </w:tc>
        <w:tc>
          <w:tcPr>
            <w:tcW w:w="8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7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4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3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r>
    </w:tbl>
    <w:p w:rsidR="00C10CC8" w:rsidRPr="00C10CC8" w:rsidRDefault="00C10CC8" w:rsidP="00C10CC8">
      <w:pPr>
        <w:widowControl/>
        <w:shd w:val="clear" w:color="auto" w:fill="FFFFFF"/>
        <w:spacing w:before="210" w:after="210" w:line="360" w:lineRule="atLeast"/>
        <w:ind w:firstLine="420"/>
        <w:rPr>
          <w:rFonts w:ascii="Arial" w:eastAsia="宋体" w:hAnsi="Arial" w:cs="Arial"/>
          <w:kern w:val="0"/>
          <w:sz w:val="24"/>
          <w:szCs w:val="24"/>
        </w:rPr>
      </w:pPr>
      <w:r w:rsidRPr="00C10CC8">
        <w:rPr>
          <w:rFonts w:ascii="微软雅黑" w:eastAsia="微软雅黑" w:hAnsi="微软雅黑" w:cs="Arial" w:hint="eastAsia"/>
          <w:color w:val="333333"/>
          <w:kern w:val="0"/>
          <w:sz w:val="23"/>
          <w:szCs w:val="23"/>
          <w:shd w:val="clear" w:color="auto" w:fill="FFFFFF"/>
        </w:rPr>
        <w:t>四、政府信息公开行政复议、行政诉讼情况</w:t>
      </w:r>
    </w:p>
    <w:tbl>
      <w:tblPr>
        <w:tblW w:w="9075"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860"/>
        <w:gridCol w:w="860"/>
        <w:gridCol w:w="860"/>
        <w:gridCol w:w="860"/>
        <w:gridCol w:w="860"/>
        <w:gridCol w:w="860"/>
        <w:gridCol w:w="860"/>
        <w:gridCol w:w="860"/>
        <w:gridCol w:w="860"/>
        <w:gridCol w:w="860"/>
        <w:gridCol w:w="860"/>
        <w:gridCol w:w="860"/>
        <w:gridCol w:w="860"/>
        <w:gridCol w:w="860"/>
        <w:gridCol w:w="860"/>
      </w:tblGrid>
      <w:tr w:rsidR="00C10CC8" w:rsidRPr="00C10CC8" w:rsidTr="00C10CC8">
        <w:trPr>
          <w:trHeight w:val="495"/>
        </w:trPr>
        <w:tc>
          <w:tcPr>
            <w:tcW w:w="307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行政复议</w:t>
            </w:r>
          </w:p>
        </w:tc>
        <w:tc>
          <w:tcPr>
            <w:tcW w:w="6000" w:type="dxa"/>
            <w:gridSpan w:val="10"/>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行政诉讼</w:t>
            </w:r>
          </w:p>
        </w:tc>
      </w:tr>
      <w:tr w:rsidR="00C10CC8" w:rsidRPr="00C10CC8" w:rsidTr="00C10CC8">
        <w:trPr>
          <w:trHeight w:val="540"/>
        </w:trPr>
        <w:tc>
          <w:tcPr>
            <w:tcW w:w="600" w:type="dxa"/>
            <w:vMerge w:val="restart"/>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维持</w:t>
            </w:r>
          </w:p>
        </w:tc>
        <w:tc>
          <w:tcPr>
            <w:tcW w:w="600" w:type="dxa"/>
            <w:vMerge w:val="restart"/>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结果纠正</w:t>
            </w:r>
          </w:p>
        </w:tc>
        <w:tc>
          <w:tcPr>
            <w:tcW w:w="600" w:type="dxa"/>
            <w:vMerge w:val="restart"/>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其他结果</w:t>
            </w:r>
          </w:p>
        </w:tc>
        <w:tc>
          <w:tcPr>
            <w:tcW w:w="600" w:type="dxa"/>
            <w:vMerge w:val="restart"/>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尚未</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审结</w:t>
            </w:r>
          </w:p>
        </w:tc>
        <w:tc>
          <w:tcPr>
            <w:tcW w:w="660" w:type="dxa"/>
            <w:vMerge w:val="restart"/>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总</w:t>
            </w:r>
          </w:p>
          <w:p w:rsidR="00C10CC8" w:rsidRPr="00C10CC8" w:rsidRDefault="00C10CC8" w:rsidP="00C10CC8">
            <w:pPr>
              <w:widowControl/>
              <w:wordWrap w:val="0"/>
              <w:spacing w:before="105" w:after="105" w:line="315"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计</w:t>
            </w:r>
          </w:p>
        </w:tc>
        <w:tc>
          <w:tcPr>
            <w:tcW w:w="2970" w:type="dxa"/>
            <w:gridSpan w:val="5"/>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未经复议直接起诉</w:t>
            </w:r>
          </w:p>
        </w:tc>
        <w:tc>
          <w:tcPr>
            <w:tcW w:w="3030" w:type="dxa"/>
            <w:gridSpan w:val="5"/>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复议后起诉</w:t>
            </w:r>
          </w:p>
        </w:tc>
      </w:tr>
      <w:tr w:rsidR="00C10CC8" w:rsidRPr="00C10CC8" w:rsidTr="00C10CC8">
        <w:trPr>
          <w:trHeight w:val="900"/>
        </w:trPr>
        <w:tc>
          <w:tcPr>
            <w:tcW w:w="0" w:type="auto"/>
            <w:vMerge/>
            <w:tcBorders>
              <w:top w:val="single" w:sz="6" w:space="0" w:color="000000"/>
              <w:left w:val="single" w:sz="6" w:space="0" w:color="auto"/>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auto"/>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auto"/>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0" w:type="auto"/>
            <w:vMerge/>
            <w:tcBorders>
              <w:top w:val="single" w:sz="6" w:space="0" w:color="auto"/>
              <w:left w:val="single" w:sz="6" w:space="0" w:color="000000"/>
              <w:bottom w:val="single" w:sz="6" w:space="0" w:color="auto"/>
              <w:right w:val="single" w:sz="6" w:space="0" w:color="auto"/>
            </w:tcBorders>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5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结果维持</w:t>
            </w: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结果纠正</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其他</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尚未</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审结</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总计</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结果维持</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结果</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纠正</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其他</w:t>
            </w:r>
          </w:p>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结果</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尚未审结</w:t>
            </w:r>
          </w:p>
        </w:tc>
        <w:tc>
          <w:tcPr>
            <w:tcW w:w="600" w:type="dxa"/>
            <w:tcBorders>
              <w:top w:val="single" w:sz="6" w:space="0" w:color="auto"/>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总计</w:t>
            </w:r>
          </w:p>
        </w:tc>
      </w:tr>
      <w:tr w:rsidR="00C10CC8" w:rsidRPr="00C10CC8" w:rsidTr="00C10CC8">
        <w:tc>
          <w:tcPr>
            <w:tcW w:w="600" w:type="dxa"/>
            <w:tcBorders>
              <w:top w:val="single" w:sz="6" w:space="0" w:color="000000"/>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6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after="180"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0</w:t>
            </w:r>
          </w:p>
        </w:tc>
        <w:tc>
          <w:tcPr>
            <w:tcW w:w="555"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after="180"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color w:val="000000"/>
                <w:kern w:val="0"/>
                <w:sz w:val="23"/>
                <w:szCs w:val="23"/>
              </w:rPr>
              <w:t>0</w:t>
            </w: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jc w:val="left"/>
              <w:rPr>
                <w:rFonts w:ascii="Arial" w:eastAsia="宋体" w:hAnsi="Arial" w:cs="Arial"/>
                <w:kern w:val="0"/>
                <w:sz w:val="24"/>
                <w:szCs w:val="24"/>
              </w:rPr>
            </w:pPr>
          </w:p>
        </w:tc>
        <w:tc>
          <w:tcPr>
            <w:tcW w:w="600" w:type="dxa"/>
            <w:tcBorders>
              <w:top w:val="single" w:sz="6" w:space="0" w:color="000000"/>
              <w:left w:val="single" w:sz="6"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rsidR="00C10CC8" w:rsidRPr="00C10CC8" w:rsidRDefault="00C10CC8" w:rsidP="00C10CC8">
            <w:pPr>
              <w:widowControl/>
              <w:wordWrap w:val="0"/>
              <w:spacing w:before="105" w:after="105" w:line="360" w:lineRule="atLeast"/>
              <w:ind w:firstLine="420"/>
              <w:jc w:val="center"/>
              <w:rPr>
                <w:rFonts w:ascii="Arial" w:eastAsia="宋体" w:hAnsi="Arial" w:cs="Arial"/>
                <w:kern w:val="0"/>
                <w:sz w:val="24"/>
                <w:szCs w:val="24"/>
              </w:rPr>
            </w:pPr>
            <w:r w:rsidRPr="00C10CC8">
              <w:rPr>
                <w:rFonts w:ascii="微软雅黑" w:eastAsia="微软雅黑" w:hAnsi="微软雅黑" w:cs="Arial" w:hint="eastAsia"/>
                <w:kern w:val="0"/>
                <w:sz w:val="23"/>
                <w:szCs w:val="23"/>
              </w:rPr>
              <w:t>0</w:t>
            </w:r>
          </w:p>
        </w:tc>
      </w:tr>
    </w:tbl>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五、存在的主要问题及改进情况</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b/>
          <w:bCs/>
          <w:kern w:val="0"/>
          <w:sz w:val="23"/>
          <w:szCs w:val="23"/>
          <w:shd w:val="clear" w:color="auto" w:fill="FFFFFF"/>
        </w:rPr>
        <w:t>主要问题:</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lastRenderedPageBreak/>
        <w:t>一是工作人员较少。全镇从事政府信息公开工作的人员1名且是兼职人员，工作力量不足。</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二是公开内容需要进一步深化。现有主动公开的政府信息与公众的需求还存在一些距离，公开信息的质量和时效有待提升;</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三是主动公开信息形式较单一，还要进一步拓广。</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b/>
          <w:bCs/>
          <w:kern w:val="0"/>
          <w:sz w:val="23"/>
          <w:szCs w:val="23"/>
          <w:shd w:val="clear" w:color="auto" w:fill="FFFFFF"/>
        </w:rPr>
        <w:t>改进情况:</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一是加强人员配备。进一步加强镇政府信息公开工作机构建设，加强工作人员配备，通过参加上级培训班等形式，加强工作人员的学习培训，确保政府信息公开工作人员能力到位、责任到位。</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二是深化公开内容。加强政府信息公开信息梳理，重点推进公众关注度高的政府信息的公开。拓展政府信息内容深度，试行对涉及民生、公众关注度高的规范性文件等政府信息开展相关解读工作。</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三是丰富公开形式。进一步推动政府信息公开工作创新，围绕政府信息公开工作的新情况和新问题，加强调查研究，积极探索推进政府信息公开工作的新思路、新举措，不断拓展政府信息公开的深度和广度，不断完善政府信息公开的制度和措施，不断提高政府信息公开工作的质量和水平。</w:t>
      </w:r>
    </w:p>
    <w:p w:rsidR="00C10CC8" w:rsidRPr="00C10CC8" w:rsidRDefault="00C10CC8" w:rsidP="00C10CC8">
      <w:pPr>
        <w:widowControl/>
        <w:shd w:val="clear" w:color="auto" w:fill="FFFFFF"/>
        <w:spacing w:before="210" w:after="210" w:line="555" w:lineRule="atLeast"/>
        <w:ind w:firstLine="420"/>
        <w:rPr>
          <w:rFonts w:ascii="Arial" w:eastAsia="宋体" w:hAnsi="Arial" w:cs="Arial"/>
          <w:kern w:val="0"/>
          <w:sz w:val="24"/>
          <w:szCs w:val="24"/>
        </w:rPr>
      </w:pPr>
      <w:r w:rsidRPr="00C10CC8">
        <w:rPr>
          <w:rFonts w:ascii="微软雅黑" w:eastAsia="微软雅黑" w:hAnsi="微软雅黑" w:cs="Arial" w:hint="eastAsia"/>
          <w:kern w:val="0"/>
          <w:sz w:val="23"/>
          <w:szCs w:val="23"/>
          <w:shd w:val="clear" w:color="auto" w:fill="FFFFFF"/>
        </w:rPr>
        <w:t>六、其他需要报告的事项</w:t>
      </w:r>
    </w:p>
    <w:p w:rsidR="00C10CC8" w:rsidRPr="00C10CC8" w:rsidRDefault="00C10CC8" w:rsidP="00C10CC8">
      <w:pPr>
        <w:widowControl/>
        <w:spacing w:before="105" w:after="105" w:line="555" w:lineRule="atLeast"/>
        <w:ind w:firstLine="420"/>
        <w:jc w:val="left"/>
        <w:rPr>
          <w:rFonts w:ascii="Arial" w:eastAsia="宋体" w:hAnsi="Arial" w:cs="Arial"/>
          <w:kern w:val="0"/>
          <w:sz w:val="24"/>
          <w:szCs w:val="24"/>
        </w:rPr>
      </w:pPr>
      <w:proofErr w:type="gramStart"/>
      <w:r w:rsidRPr="00C10CC8">
        <w:rPr>
          <w:rFonts w:ascii="微软雅黑" w:eastAsia="微软雅黑" w:hAnsi="微软雅黑" w:cs="Arial" w:hint="eastAsia"/>
          <w:kern w:val="0"/>
          <w:sz w:val="23"/>
          <w:szCs w:val="23"/>
        </w:rPr>
        <w:t>2020年尚店镇</w:t>
      </w:r>
      <w:proofErr w:type="gramEnd"/>
      <w:r w:rsidRPr="00C10CC8">
        <w:rPr>
          <w:rFonts w:ascii="微软雅黑" w:eastAsia="微软雅黑" w:hAnsi="微软雅黑" w:cs="Arial" w:hint="eastAsia"/>
          <w:kern w:val="0"/>
          <w:sz w:val="23"/>
          <w:szCs w:val="23"/>
        </w:rPr>
        <w:t>政府信息公开工作始终遵循“公正、公平、便民”的工作原则，在工作内容、工作基础、工作理念上均取得较大进步，主要体现在两个方面:</w:t>
      </w:r>
      <w:r w:rsidRPr="00C10CC8">
        <w:rPr>
          <w:rFonts w:ascii="微软雅黑" w:eastAsia="微软雅黑" w:hAnsi="微软雅黑" w:cs="Arial" w:hint="eastAsia"/>
          <w:b/>
          <w:bCs/>
          <w:kern w:val="0"/>
          <w:sz w:val="23"/>
          <w:szCs w:val="23"/>
        </w:rPr>
        <w:lastRenderedPageBreak/>
        <w:t>一是</w:t>
      </w:r>
      <w:r w:rsidRPr="00C10CC8">
        <w:rPr>
          <w:rFonts w:ascii="微软雅黑" w:eastAsia="微软雅黑" w:hAnsi="微软雅黑" w:cs="Arial" w:hint="eastAsia"/>
          <w:kern w:val="0"/>
          <w:sz w:val="23"/>
          <w:szCs w:val="23"/>
        </w:rPr>
        <w:t>进一步完善信息公开工作配套设施，依托党政办公室，保障政府信息公开工作所需的设备和网络，确保政府信息公开工作按时、按质、按量完成。</w:t>
      </w:r>
      <w:r w:rsidRPr="00C10CC8">
        <w:rPr>
          <w:rFonts w:ascii="微软雅黑" w:eastAsia="微软雅黑" w:hAnsi="微软雅黑" w:cs="Arial" w:hint="eastAsia"/>
          <w:b/>
          <w:bCs/>
          <w:kern w:val="0"/>
          <w:sz w:val="23"/>
          <w:szCs w:val="23"/>
        </w:rPr>
        <w:t>二是</w:t>
      </w:r>
      <w:r w:rsidRPr="00C10CC8">
        <w:rPr>
          <w:rFonts w:ascii="微软雅黑" w:eastAsia="微软雅黑" w:hAnsi="微软雅黑" w:cs="Arial" w:hint="eastAsia"/>
          <w:kern w:val="0"/>
          <w:sz w:val="23"/>
          <w:szCs w:val="23"/>
        </w:rPr>
        <w:t>进一步加强信息公开人员业务培训、召开政府信息公开会议4次，举办各类培训班数4次，接受培训人员42人次，进一步规范政府信息公开工作。</w:t>
      </w:r>
    </w:p>
    <w:p w:rsidR="0051115B" w:rsidRPr="00C10CC8" w:rsidRDefault="0051115B" w:rsidP="00C10CC8">
      <w:bookmarkStart w:id="0" w:name="_GoBack"/>
      <w:bookmarkEnd w:id="0"/>
    </w:p>
    <w:sectPr w:rsidR="0051115B" w:rsidRPr="00C10C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F"/>
    <w:rsid w:val="00003DF3"/>
    <w:rsid w:val="000A50FA"/>
    <w:rsid w:val="0018585F"/>
    <w:rsid w:val="002B781F"/>
    <w:rsid w:val="0051115B"/>
    <w:rsid w:val="00731353"/>
    <w:rsid w:val="00C02B8A"/>
    <w:rsid w:val="00C10CC8"/>
    <w:rsid w:val="00C51724"/>
    <w:rsid w:val="00C51B82"/>
    <w:rsid w:val="00D8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5D1"/>
  <w15:chartTrackingRefBased/>
  <w15:docId w15:val="{4FCEF714-4237-4BA2-8596-2F842B54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B82"/>
    <w:pPr>
      <w:widowControl/>
      <w:spacing w:before="100" w:beforeAutospacing="1" w:after="100" w:afterAutospacing="1" w:line="360" w:lineRule="atLeast"/>
      <w:jc w:val="left"/>
    </w:pPr>
    <w:rPr>
      <w:rFonts w:ascii="宋体" w:eastAsia="宋体" w:hAnsi="宋体" w:cs="宋体"/>
      <w:kern w:val="0"/>
      <w:sz w:val="24"/>
      <w:szCs w:val="24"/>
    </w:rPr>
  </w:style>
  <w:style w:type="character" w:styleId="a4">
    <w:name w:val="Strong"/>
    <w:basedOn w:val="a0"/>
    <w:uiPriority w:val="22"/>
    <w:qFormat/>
    <w:rsid w:val="00C51B82"/>
    <w:rPr>
      <w:b/>
      <w:bCs/>
    </w:rPr>
  </w:style>
  <w:style w:type="paragraph" w:customStyle="1" w:styleId="cjk">
    <w:name w:val="cjk"/>
    <w:basedOn w:val="a"/>
    <w:rsid w:val="000A50FA"/>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341">
      <w:bodyDiv w:val="1"/>
      <w:marLeft w:val="0"/>
      <w:marRight w:val="0"/>
      <w:marTop w:val="0"/>
      <w:marBottom w:val="0"/>
      <w:divBdr>
        <w:top w:val="none" w:sz="0" w:space="0" w:color="auto"/>
        <w:left w:val="none" w:sz="0" w:space="0" w:color="auto"/>
        <w:bottom w:val="none" w:sz="0" w:space="0" w:color="auto"/>
        <w:right w:val="none" w:sz="0" w:space="0" w:color="auto"/>
      </w:divBdr>
      <w:divsChild>
        <w:div w:id="154151273">
          <w:marLeft w:val="0"/>
          <w:marRight w:val="0"/>
          <w:marTop w:val="0"/>
          <w:marBottom w:val="0"/>
          <w:divBdr>
            <w:top w:val="none" w:sz="0" w:space="0" w:color="auto"/>
            <w:left w:val="none" w:sz="0" w:space="0" w:color="auto"/>
            <w:bottom w:val="none" w:sz="0" w:space="0" w:color="auto"/>
            <w:right w:val="none" w:sz="0" w:space="0" w:color="auto"/>
          </w:divBdr>
        </w:div>
        <w:div w:id="1353453854">
          <w:marLeft w:val="0"/>
          <w:marRight w:val="0"/>
          <w:marTop w:val="0"/>
          <w:marBottom w:val="0"/>
          <w:divBdr>
            <w:top w:val="none" w:sz="0" w:space="0" w:color="auto"/>
            <w:left w:val="none" w:sz="0" w:space="0" w:color="auto"/>
            <w:bottom w:val="none" w:sz="0" w:space="0" w:color="auto"/>
            <w:right w:val="none" w:sz="0" w:space="0" w:color="auto"/>
          </w:divBdr>
        </w:div>
        <w:div w:id="1119564574">
          <w:marLeft w:val="0"/>
          <w:marRight w:val="0"/>
          <w:marTop w:val="0"/>
          <w:marBottom w:val="0"/>
          <w:divBdr>
            <w:top w:val="none" w:sz="0" w:space="0" w:color="auto"/>
            <w:left w:val="none" w:sz="0" w:space="0" w:color="auto"/>
            <w:bottom w:val="none" w:sz="0" w:space="0" w:color="auto"/>
            <w:right w:val="none" w:sz="0" w:space="0" w:color="auto"/>
          </w:divBdr>
        </w:div>
      </w:divsChild>
    </w:div>
    <w:div w:id="272714540">
      <w:bodyDiv w:val="1"/>
      <w:marLeft w:val="0"/>
      <w:marRight w:val="0"/>
      <w:marTop w:val="0"/>
      <w:marBottom w:val="0"/>
      <w:divBdr>
        <w:top w:val="none" w:sz="0" w:space="0" w:color="auto"/>
        <w:left w:val="none" w:sz="0" w:space="0" w:color="auto"/>
        <w:bottom w:val="none" w:sz="0" w:space="0" w:color="auto"/>
        <w:right w:val="none" w:sz="0" w:space="0" w:color="auto"/>
      </w:divBdr>
      <w:divsChild>
        <w:div w:id="966081567">
          <w:marLeft w:val="0"/>
          <w:marRight w:val="0"/>
          <w:marTop w:val="0"/>
          <w:marBottom w:val="0"/>
          <w:divBdr>
            <w:top w:val="none" w:sz="0" w:space="0" w:color="auto"/>
            <w:left w:val="none" w:sz="0" w:space="0" w:color="auto"/>
            <w:bottom w:val="none" w:sz="0" w:space="0" w:color="auto"/>
            <w:right w:val="none" w:sz="0" w:space="0" w:color="auto"/>
          </w:divBdr>
          <w:divsChild>
            <w:div w:id="130096899">
              <w:marLeft w:val="0"/>
              <w:marRight w:val="0"/>
              <w:marTop w:val="0"/>
              <w:marBottom w:val="0"/>
              <w:divBdr>
                <w:top w:val="none" w:sz="0" w:space="0" w:color="auto"/>
                <w:left w:val="none" w:sz="0" w:space="0" w:color="auto"/>
                <w:bottom w:val="none" w:sz="0" w:space="0" w:color="auto"/>
                <w:right w:val="none" w:sz="0" w:space="0" w:color="auto"/>
              </w:divBdr>
            </w:div>
          </w:divsChild>
        </w:div>
        <w:div w:id="128131219">
          <w:marLeft w:val="0"/>
          <w:marRight w:val="0"/>
          <w:marTop w:val="0"/>
          <w:marBottom w:val="0"/>
          <w:divBdr>
            <w:top w:val="none" w:sz="0" w:space="0" w:color="auto"/>
            <w:left w:val="none" w:sz="0" w:space="0" w:color="auto"/>
            <w:bottom w:val="none" w:sz="0" w:space="0" w:color="auto"/>
            <w:right w:val="none" w:sz="0" w:space="0" w:color="auto"/>
          </w:divBdr>
          <w:divsChild>
            <w:div w:id="410348645">
              <w:marLeft w:val="0"/>
              <w:marRight w:val="0"/>
              <w:marTop w:val="0"/>
              <w:marBottom w:val="0"/>
              <w:divBdr>
                <w:top w:val="none" w:sz="0" w:space="0" w:color="auto"/>
                <w:left w:val="none" w:sz="0" w:space="0" w:color="auto"/>
                <w:bottom w:val="none" w:sz="0" w:space="0" w:color="auto"/>
                <w:right w:val="none" w:sz="0" w:space="0" w:color="auto"/>
              </w:divBdr>
            </w:div>
          </w:divsChild>
        </w:div>
        <w:div w:id="1497647546">
          <w:marLeft w:val="0"/>
          <w:marRight w:val="0"/>
          <w:marTop w:val="0"/>
          <w:marBottom w:val="0"/>
          <w:divBdr>
            <w:top w:val="none" w:sz="0" w:space="0" w:color="auto"/>
            <w:left w:val="none" w:sz="0" w:space="0" w:color="auto"/>
            <w:bottom w:val="none" w:sz="0" w:space="0" w:color="auto"/>
            <w:right w:val="none" w:sz="0" w:space="0" w:color="auto"/>
          </w:divBdr>
          <w:divsChild>
            <w:div w:id="939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804">
      <w:bodyDiv w:val="1"/>
      <w:marLeft w:val="0"/>
      <w:marRight w:val="0"/>
      <w:marTop w:val="0"/>
      <w:marBottom w:val="0"/>
      <w:divBdr>
        <w:top w:val="none" w:sz="0" w:space="0" w:color="auto"/>
        <w:left w:val="none" w:sz="0" w:space="0" w:color="auto"/>
        <w:bottom w:val="none" w:sz="0" w:space="0" w:color="auto"/>
        <w:right w:val="none" w:sz="0" w:space="0" w:color="auto"/>
      </w:divBdr>
      <w:divsChild>
        <w:div w:id="400755567">
          <w:marLeft w:val="0"/>
          <w:marRight w:val="0"/>
          <w:marTop w:val="0"/>
          <w:marBottom w:val="0"/>
          <w:divBdr>
            <w:top w:val="none" w:sz="0" w:space="0" w:color="auto"/>
            <w:left w:val="none" w:sz="0" w:space="0" w:color="auto"/>
            <w:bottom w:val="none" w:sz="0" w:space="0" w:color="auto"/>
            <w:right w:val="none" w:sz="0" w:space="0" w:color="auto"/>
          </w:divBdr>
          <w:divsChild>
            <w:div w:id="537737447">
              <w:marLeft w:val="0"/>
              <w:marRight w:val="0"/>
              <w:marTop w:val="0"/>
              <w:marBottom w:val="0"/>
              <w:divBdr>
                <w:top w:val="none" w:sz="0" w:space="0" w:color="auto"/>
                <w:left w:val="none" w:sz="0" w:space="0" w:color="auto"/>
                <w:bottom w:val="none" w:sz="0" w:space="0" w:color="auto"/>
                <w:right w:val="none" w:sz="0" w:space="0" w:color="auto"/>
              </w:divBdr>
              <w:divsChild>
                <w:div w:id="2082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622">
          <w:marLeft w:val="0"/>
          <w:marRight w:val="0"/>
          <w:marTop w:val="0"/>
          <w:marBottom w:val="0"/>
          <w:divBdr>
            <w:top w:val="none" w:sz="0" w:space="0" w:color="auto"/>
            <w:left w:val="none" w:sz="0" w:space="0" w:color="auto"/>
            <w:bottom w:val="none" w:sz="0" w:space="0" w:color="auto"/>
            <w:right w:val="none" w:sz="0" w:space="0" w:color="auto"/>
          </w:divBdr>
          <w:divsChild>
            <w:div w:id="1460875740">
              <w:marLeft w:val="0"/>
              <w:marRight w:val="0"/>
              <w:marTop w:val="0"/>
              <w:marBottom w:val="0"/>
              <w:divBdr>
                <w:top w:val="none" w:sz="0" w:space="0" w:color="auto"/>
                <w:left w:val="none" w:sz="0" w:space="0" w:color="auto"/>
                <w:bottom w:val="none" w:sz="0" w:space="0" w:color="auto"/>
                <w:right w:val="none" w:sz="0" w:space="0" w:color="auto"/>
              </w:divBdr>
              <w:divsChild>
                <w:div w:id="16015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8531">
          <w:marLeft w:val="0"/>
          <w:marRight w:val="0"/>
          <w:marTop w:val="0"/>
          <w:marBottom w:val="0"/>
          <w:divBdr>
            <w:top w:val="none" w:sz="0" w:space="0" w:color="auto"/>
            <w:left w:val="none" w:sz="0" w:space="0" w:color="auto"/>
            <w:bottom w:val="none" w:sz="0" w:space="0" w:color="auto"/>
            <w:right w:val="none" w:sz="0" w:space="0" w:color="auto"/>
          </w:divBdr>
          <w:divsChild>
            <w:div w:id="977077431">
              <w:marLeft w:val="0"/>
              <w:marRight w:val="0"/>
              <w:marTop w:val="0"/>
              <w:marBottom w:val="0"/>
              <w:divBdr>
                <w:top w:val="none" w:sz="0" w:space="0" w:color="auto"/>
                <w:left w:val="none" w:sz="0" w:space="0" w:color="auto"/>
                <w:bottom w:val="none" w:sz="0" w:space="0" w:color="auto"/>
                <w:right w:val="none" w:sz="0" w:space="0" w:color="auto"/>
              </w:divBdr>
              <w:divsChild>
                <w:div w:id="982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8016">
      <w:bodyDiv w:val="1"/>
      <w:marLeft w:val="0"/>
      <w:marRight w:val="0"/>
      <w:marTop w:val="0"/>
      <w:marBottom w:val="0"/>
      <w:divBdr>
        <w:top w:val="none" w:sz="0" w:space="0" w:color="auto"/>
        <w:left w:val="none" w:sz="0" w:space="0" w:color="auto"/>
        <w:bottom w:val="none" w:sz="0" w:space="0" w:color="auto"/>
        <w:right w:val="none" w:sz="0" w:space="0" w:color="auto"/>
      </w:divBdr>
      <w:divsChild>
        <w:div w:id="1914123190">
          <w:marLeft w:val="0"/>
          <w:marRight w:val="0"/>
          <w:marTop w:val="0"/>
          <w:marBottom w:val="0"/>
          <w:divBdr>
            <w:top w:val="none" w:sz="0" w:space="0" w:color="auto"/>
            <w:left w:val="none" w:sz="0" w:space="0" w:color="auto"/>
            <w:bottom w:val="none" w:sz="0" w:space="0" w:color="auto"/>
            <w:right w:val="none" w:sz="0" w:space="0" w:color="auto"/>
          </w:divBdr>
          <w:divsChild>
            <w:div w:id="1568489222">
              <w:marLeft w:val="0"/>
              <w:marRight w:val="0"/>
              <w:marTop w:val="0"/>
              <w:marBottom w:val="0"/>
              <w:divBdr>
                <w:top w:val="none" w:sz="0" w:space="0" w:color="auto"/>
                <w:left w:val="none" w:sz="0" w:space="0" w:color="auto"/>
                <w:bottom w:val="none" w:sz="0" w:space="0" w:color="auto"/>
                <w:right w:val="none" w:sz="0" w:space="0" w:color="auto"/>
              </w:divBdr>
            </w:div>
          </w:divsChild>
        </w:div>
        <w:div w:id="1979531766">
          <w:marLeft w:val="0"/>
          <w:marRight w:val="0"/>
          <w:marTop w:val="0"/>
          <w:marBottom w:val="0"/>
          <w:divBdr>
            <w:top w:val="none" w:sz="0" w:space="0" w:color="auto"/>
            <w:left w:val="none" w:sz="0" w:space="0" w:color="auto"/>
            <w:bottom w:val="none" w:sz="0" w:space="0" w:color="auto"/>
            <w:right w:val="none" w:sz="0" w:space="0" w:color="auto"/>
          </w:divBdr>
          <w:divsChild>
            <w:div w:id="784732231">
              <w:marLeft w:val="0"/>
              <w:marRight w:val="0"/>
              <w:marTop w:val="0"/>
              <w:marBottom w:val="0"/>
              <w:divBdr>
                <w:top w:val="none" w:sz="0" w:space="0" w:color="auto"/>
                <w:left w:val="none" w:sz="0" w:space="0" w:color="auto"/>
                <w:bottom w:val="none" w:sz="0" w:space="0" w:color="auto"/>
                <w:right w:val="none" w:sz="0" w:space="0" w:color="auto"/>
              </w:divBdr>
            </w:div>
          </w:divsChild>
        </w:div>
        <w:div w:id="360009458">
          <w:marLeft w:val="0"/>
          <w:marRight w:val="0"/>
          <w:marTop w:val="0"/>
          <w:marBottom w:val="0"/>
          <w:divBdr>
            <w:top w:val="none" w:sz="0" w:space="0" w:color="auto"/>
            <w:left w:val="none" w:sz="0" w:space="0" w:color="auto"/>
            <w:bottom w:val="none" w:sz="0" w:space="0" w:color="auto"/>
            <w:right w:val="none" w:sz="0" w:space="0" w:color="auto"/>
          </w:divBdr>
          <w:divsChild>
            <w:div w:id="19353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273">
      <w:bodyDiv w:val="1"/>
      <w:marLeft w:val="0"/>
      <w:marRight w:val="0"/>
      <w:marTop w:val="0"/>
      <w:marBottom w:val="0"/>
      <w:divBdr>
        <w:top w:val="none" w:sz="0" w:space="0" w:color="auto"/>
        <w:left w:val="none" w:sz="0" w:space="0" w:color="auto"/>
        <w:bottom w:val="none" w:sz="0" w:space="0" w:color="auto"/>
        <w:right w:val="none" w:sz="0" w:space="0" w:color="auto"/>
      </w:divBdr>
      <w:divsChild>
        <w:div w:id="1174109355">
          <w:marLeft w:val="0"/>
          <w:marRight w:val="0"/>
          <w:marTop w:val="0"/>
          <w:marBottom w:val="0"/>
          <w:divBdr>
            <w:top w:val="none" w:sz="0" w:space="0" w:color="auto"/>
            <w:left w:val="none" w:sz="0" w:space="0" w:color="auto"/>
            <w:bottom w:val="none" w:sz="0" w:space="0" w:color="auto"/>
            <w:right w:val="none" w:sz="0" w:space="0" w:color="auto"/>
          </w:divBdr>
          <w:divsChild>
            <w:div w:id="1705135852">
              <w:marLeft w:val="0"/>
              <w:marRight w:val="0"/>
              <w:marTop w:val="0"/>
              <w:marBottom w:val="0"/>
              <w:divBdr>
                <w:top w:val="none" w:sz="0" w:space="0" w:color="auto"/>
                <w:left w:val="none" w:sz="0" w:space="0" w:color="auto"/>
                <w:bottom w:val="none" w:sz="0" w:space="0" w:color="auto"/>
                <w:right w:val="none" w:sz="0" w:space="0" w:color="auto"/>
              </w:divBdr>
            </w:div>
          </w:divsChild>
        </w:div>
        <w:div w:id="123934682">
          <w:marLeft w:val="0"/>
          <w:marRight w:val="0"/>
          <w:marTop w:val="0"/>
          <w:marBottom w:val="0"/>
          <w:divBdr>
            <w:top w:val="none" w:sz="0" w:space="0" w:color="auto"/>
            <w:left w:val="none" w:sz="0" w:space="0" w:color="auto"/>
            <w:bottom w:val="none" w:sz="0" w:space="0" w:color="auto"/>
            <w:right w:val="none" w:sz="0" w:space="0" w:color="auto"/>
          </w:divBdr>
          <w:divsChild>
            <w:div w:id="864632716">
              <w:marLeft w:val="0"/>
              <w:marRight w:val="0"/>
              <w:marTop w:val="0"/>
              <w:marBottom w:val="0"/>
              <w:divBdr>
                <w:top w:val="none" w:sz="0" w:space="0" w:color="auto"/>
                <w:left w:val="none" w:sz="0" w:space="0" w:color="auto"/>
                <w:bottom w:val="none" w:sz="0" w:space="0" w:color="auto"/>
                <w:right w:val="none" w:sz="0" w:space="0" w:color="auto"/>
              </w:divBdr>
            </w:div>
          </w:divsChild>
        </w:div>
        <w:div w:id="286740554">
          <w:marLeft w:val="0"/>
          <w:marRight w:val="0"/>
          <w:marTop w:val="0"/>
          <w:marBottom w:val="0"/>
          <w:divBdr>
            <w:top w:val="none" w:sz="0" w:space="0" w:color="auto"/>
            <w:left w:val="none" w:sz="0" w:space="0" w:color="auto"/>
            <w:bottom w:val="none" w:sz="0" w:space="0" w:color="auto"/>
            <w:right w:val="none" w:sz="0" w:space="0" w:color="auto"/>
          </w:divBdr>
          <w:divsChild>
            <w:div w:id="1978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107">
      <w:bodyDiv w:val="1"/>
      <w:marLeft w:val="0"/>
      <w:marRight w:val="0"/>
      <w:marTop w:val="0"/>
      <w:marBottom w:val="0"/>
      <w:divBdr>
        <w:top w:val="none" w:sz="0" w:space="0" w:color="auto"/>
        <w:left w:val="none" w:sz="0" w:space="0" w:color="auto"/>
        <w:bottom w:val="none" w:sz="0" w:space="0" w:color="auto"/>
        <w:right w:val="none" w:sz="0" w:space="0" w:color="auto"/>
      </w:divBdr>
      <w:divsChild>
        <w:div w:id="1950769760">
          <w:marLeft w:val="0"/>
          <w:marRight w:val="0"/>
          <w:marTop w:val="0"/>
          <w:marBottom w:val="0"/>
          <w:divBdr>
            <w:top w:val="none" w:sz="0" w:space="0" w:color="auto"/>
            <w:left w:val="none" w:sz="0" w:space="0" w:color="auto"/>
            <w:bottom w:val="none" w:sz="0" w:space="0" w:color="auto"/>
            <w:right w:val="none" w:sz="0" w:space="0" w:color="auto"/>
          </w:divBdr>
          <w:divsChild>
            <w:div w:id="1918006920">
              <w:marLeft w:val="0"/>
              <w:marRight w:val="0"/>
              <w:marTop w:val="0"/>
              <w:marBottom w:val="0"/>
              <w:divBdr>
                <w:top w:val="none" w:sz="0" w:space="0" w:color="auto"/>
                <w:left w:val="none" w:sz="0" w:space="0" w:color="auto"/>
                <w:bottom w:val="none" w:sz="0" w:space="0" w:color="auto"/>
                <w:right w:val="none" w:sz="0" w:space="0" w:color="auto"/>
              </w:divBdr>
            </w:div>
          </w:divsChild>
        </w:div>
        <w:div w:id="661275812">
          <w:marLeft w:val="0"/>
          <w:marRight w:val="0"/>
          <w:marTop w:val="0"/>
          <w:marBottom w:val="0"/>
          <w:divBdr>
            <w:top w:val="none" w:sz="0" w:space="0" w:color="auto"/>
            <w:left w:val="none" w:sz="0" w:space="0" w:color="auto"/>
            <w:bottom w:val="none" w:sz="0" w:space="0" w:color="auto"/>
            <w:right w:val="none" w:sz="0" w:space="0" w:color="auto"/>
          </w:divBdr>
          <w:divsChild>
            <w:div w:id="1944805273">
              <w:marLeft w:val="0"/>
              <w:marRight w:val="0"/>
              <w:marTop w:val="0"/>
              <w:marBottom w:val="0"/>
              <w:divBdr>
                <w:top w:val="none" w:sz="0" w:space="0" w:color="auto"/>
                <w:left w:val="none" w:sz="0" w:space="0" w:color="auto"/>
                <w:bottom w:val="none" w:sz="0" w:space="0" w:color="auto"/>
                <w:right w:val="none" w:sz="0" w:space="0" w:color="auto"/>
              </w:divBdr>
            </w:div>
          </w:divsChild>
        </w:div>
        <w:div w:id="2120877202">
          <w:marLeft w:val="0"/>
          <w:marRight w:val="0"/>
          <w:marTop w:val="0"/>
          <w:marBottom w:val="0"/>
          <w:divBdr>
            <w:top w:val="none" w:sz="0" w:space="0" w:color="auto"/>
            <w:left w:val="none" w:sz="0" w:space="0" w:color="auto"/>
            <w:bottom w:val="none" w:sz="0" w:space="0" w:color="auto"/>
            <w:right w:val="none" w:sz="0" w:space="0" w:color="auto"/>
          </w:divBdr>
          <w:divsChild>
            <w:div w:id="551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59846">
      <w:bodyDiv w:val="1"/>
      <w:marLeft w:val="0"/>
      <w:marRight w:val="0"/>
      <w:marTop w:val="0"/>
      <w:marBottom w:val="0"/>
      <w:divBdr>
        <w:top w:val="none" w:sz="0" w:space="0" w:color="auto"/>
        <w:left w:val="none" w:sz="0" w:space="0" w:color="auto"/>
        <w:bottom w:val="none" w:sz="0" w:space="0" w:color="auto"/>
        <w:right w:val="none" w:sz="0" w:space="0" w:color="auto"/>
      </w:divBdr>
      <w:divsChild>
        <w:div w:id="1380280303">
          <w:marLeft w:val="0"/>
          <w:marRight w:val="0"/>
          <w:marTop w:val="0"/>
          <w:marBottom w:val="0"/>
          <w:divBdr>
            <w:top w:val="none" w:sz="0" w:space="0" w:color="auto"/>
            <w:left w:val="none" w:sz="0" w:space="0" w:color="auto"/>
            <w:bottom w:val="none" w:sz="0" w:space="0" w:color="auto"/>
            <w:right w:val="none" w:sz="0" w:space="0" w:color="auto"/>
          </w:divBdr>
        </w:div>
        <w:div w:id="2131126959">
          <w:marLeft w:val="0"/>
          <w:marRight w:val="0"/>
          <w:marTop w:val="0"/>
          <w:marBottom w:val="0"/>
          <w:divBdr>
            <w:top w:val="none" w:sz="0" w:space="0" w:color="auto"/>
            <w:left w:val="none" w:sz="0" w:space="0" w:color="auto"/>
            <w:bottom w:val="none" w:sz="0" w:space="0" w:color="auto"/>
            <w:right w:val="none" w:sz="0" w:space="0" w:color="auto"/>
          </w:divBdr>
        </w:div>
        <w:div w:id="4202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2436</Characters>
  <Application>Microsoft Office Word</Application>
  <DocSecurity>0</DocSecurity>
  <Lines>20</Lines>
  <Paragraphs>5</Paragraphs>
  <ScaleCrop>false</ScaleCrop>
  <Company>DoubleOX</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2021-05-31T02:54:00Z</dcterms:created>
  <dcterms:modified xsi:type="dcterms:W3CDTF">2021-05-31T03:32:00Z</dcterms:modified>
</cp:coreProperties>
</file>