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</w:pPr>
      <w:r>
        <w:rPr>
          <w:rFonts w:ascii="黑体" w:hAnsi="宋体" w:eastAsia="黑体" w:cs="黑体"/>
          <w:color w:val="333333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</w:pPr>
      <w:r>
        <w:rPr>
          <w:rFonts w:ascii="仿宋_GB2312" w:eastAsia="仿宋_GB2312" w:cs="仿宋_GB2312"/>
          <w:color w:val="333333"/>
          <w:sz w:val="31"/>
          <w:szCs w:val="31"/>
          <w:shd w:val="clear" w:fill="FFFFFF"/>
        </w:rPr>
        <w:t>2020年，</w:t>
      </w:r>
      <w:r>
        <w:rPr>
          <w:rFonts w:hint="eastAsia" w:ascii="仿宋_GB2312" w:eastAsia="仿宋_GB2312" w:cs="仿宋_GB2312"/>
          <w:color w:val="333333"/>
          <w:sz w:val="31"/>
          <w:szCs w:val="31"/>
          <w:shd w:val="clear" w:fill="FFFFFF"/>
        </w:rPr>
        <w:t>潘庄镇在临清市委、市政府正确领导下，深入学习领会《政府信息公开条例》文件精神，加大对镇机关各部门的公开指导和业务培训，依照相关法律法规的要求，积极推进政府信息公开工作。今年，潘庄镇共主动公开政府信息25条，受理依申请信息2件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</w:pPr>
      <w:r>
        <w:rPr>
          <w:rFonts w:hint="eastAsia" w:ascii="仿宋_GB2312" w:eastAsia="仿宋_GB2312" w:cs="仿宋_GB2312"/>
          <w:color w:val="333333"/>
          <w:sz w:val="31"/>
          <w:szCs w:val="31"/>
          <w:shd w:val="clear" w:fill="FFFFFF"/>
        </w:rPr>
        <w:t>潘庄镇强化组织领导，对照法律法规规章制度，结合“三定”职责等，进一步梳理我镇依法行使的行政权力和依法承担的公共服务职责，对权责清单事项及公共服务事项进行完善。同时，根据“放管服”改革要求，进一步梳理行政规范性文件，对我镇现有的行政规范性文件及时立改废，对外公开最新动态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both"/>
      </w:pPr>
      <w:r>
        <w:rPr>
          <w:rFonts w:hint="eastAsia" w:ascii="仿宋_GB2312" w:eastAsia="仿宋_GB2312" w:cs="仿宋_GB2312"/>
          <w:color w:val="333333"/>
          <w:sz w:val="31"/>
          <w:szCs w:val="31"/>
          <w:shd w:val="clear" w:fill="FFFFFF"/>
        </w:rPr>
        <w:t>2020年，主动公开的信息包括政府信息公开年报、部门职能、领导分工调整情况、重大战略部署、便民措施等信息内容。对于街道重点工作、辖区群众最关心的各事项，坚持应公开尽公开、应上网尽上网的原则，在各渠道公开，有力满足了群众的政府信息需求。</w:t>
      </w:r>
    </w:p>
    <w:tbl>
      <w:tblPr>
        <w:tblW w:w="871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075"/>
        <w:gridCol w:w="15"/>
        <w:gridCol w:w="2100"/>
        <w:gridCol w:w="1500"/>
        <w:gridCol w:w="202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8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本年新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对外公开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　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 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 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715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0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本年增/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减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8715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本年增/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减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15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202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715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本年增/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  <w:jc w:val="center"/>
        </w:trPr>
        <w:tc>
          <w:tcPr>
            <w:tcW w:w="3075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  <w:jc w:val="center"/>
        </w:trPr>
        <w:tc>
          <w:tcPr>
            <w:tcW w:w="8715" w:type="dxa"/>
            <w:gridSpan w:val="5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3090" w:type="dxa"/>
            <w:gridSpan w:val="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  <w:jc w:val="center"/>
        </w:trPr>
        <w:tc>
          <w:tcPr>
            <w:tcW w:w="3090" w:type="dxa"/>
            <w:gridSpan w:val="2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Fonts w:hint="default" w:ascii="sans-serif" w:hAnsi="sans-serif" w:eastAsia="sans-serif" w:cs="sans-serif"/>
              </w:rPr>
              <w:t>　</w:t>
            </w:r>
          </w:p>
        </w:tc>
        <w:tc>
          <w:tcPr>
            <w:tcW w:w="35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after="240" w:afterAutospacing="0"/>
        <w:ind w:left="-195" w:firstLine="615"/>
        <w:jc w:val="both"/>
      </w:pPr>
      <w:r>
        <w:rPr>
          <w:rStyle w:val="5"/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三、收到和处理政府信息公开申请情况</w:t>
      </w:r>
    </w:p>
    <w:tbl>
      <w:tblPr>
        <w:tblW w:w="90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90"/>
        <w:gridCol w:w="1412"/>
        <w:gridCol w:w="2798"/>
        <w:gridCol w:w="849"/>
        <w:gridCol w:w="566"/>
        <w:gridCol w:w="566"/>
        <w:gridCol w:w="566"/>
        <w:gridCol w:w="566"/>
        <w:gridCol w:w="536"/>
        <w:gridCol w:w="626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478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20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25" w:hRule="atLeast"/>
          <w:jc w:val="center"/>
        </w:trPr>
        <w:tc>
          <w:tcPr>
            <w:tcW w:w="478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left="-105" w:right="-105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商业企业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科研机构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left="-105" w:right="-10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社会公益组织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ind w:left="-105" w:right="-105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ind w:left="-60" w:right="-13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其他</w:t>
            </w: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785" w:type="dxa"/>
            <w:gridSpan w:val="3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785" w:type="dxa"/>
            <w:gridSpan w:val="3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三、本年度办理结果</w:t>
            </w:r>
          </w:p>
        </w:tc>
        <w:tc>
          <w:tcPr>
            <w:tcW w:w="4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（一）予以公开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ind w:left="0" w:firstLine="21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  <w:ind w:left="-105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（三）不予公开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1.</w:t>
            </w:r>
            <w:r>
              <w:rPr>
                <w:rFonts w:ascii="楷体" w:hAnsi="楷体" w:eastAsia="楷体" w:cs="楷体"/>
                <w:sz w:val="19"/>
                <w:szCs w:val="19"/>
              </w:rPr>
              <w:t>属于国家秘密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2.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其他法律行政法规禁止公开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3.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危及</w:t>
            </w: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“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三安全一稳定</w:t>
            </w: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”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4.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保护第三方合法权益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5.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属于三类内部事务信息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6.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属于四类过程性信息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7.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属于行政执法案卷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8.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属于行政查询事项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  <w:ind w:left="-105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（四）无法提供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1.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本机关不掌握相关政府信息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2.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没有现成信息需要另行制作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3.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补正后申请内容仍不明确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  <w:ind w:left="-105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（五）不予处理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1.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信访举报投诉类申请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2.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重复申请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5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3.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要求提供公开出版物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4.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无正当理由大量反复申请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5.</w:t>
            </w:r>
            <w:r>
              <w:rPr>
                <w:rFonts w:hint="eastAsia" w:ascii="楷体" w:hAnsi="楷体" w:eastAsia="楷体" w:cs="楷体"/>
                <w:sz w:val="19"/>
                <w:szCs w:val="19"/>
              </w:rPr>
              <w:t>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ind w:left="0" w:firstLine="195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出具已获取信息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（六）其他处理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90" w:hRule="atLeast"/>
          <w:jc w:val="center"/>
        </w:trPr>
        <w:tc>
          <w:tcPr>
            <w:tcW w:w="525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95" w:lineRule="atLeast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（七）总计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4785" w:type="dxa"/>
            <w:gridSpan w:val="3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7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4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3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> </w:t>
      </w:r>
    </w:p>
    <w:tbl>
      <w:tblPr>
        <w:tblW w:w="90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  <w:jc w:val="center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600" w:type="dxa"/>
            <w:vMerge w:val="restart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50" w:right="-16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50" w:right="-16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45" w:right="-135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75" w:right="-9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20" w:right="-12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20" w:right="-12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15" w:lineRule="atLeast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0" w:hRule="atLeast"/>
          <w:jc w:val="center"/>
        </w:trPr>
        <w:tc>
          <w:tcPr>
            <w:tcW w:w="600" w:type="dxa"/>
            <w:vMerge w:val="continue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05" w:right="-12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90" w:right="-9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20" w:right="-13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20" w:right="-13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65" w:right="-15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65" w:right="-15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05" w:right="-75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35" w:right="-12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35" w:right="-12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80" w:right="-135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180" w:right="-135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ind w:left="-60" w:right="-105" w:firstLine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default" w:ascii="Times New Roman" w:hAnsi="Times New Roman" w:eastAsia="sans-serif" w:cs="Times New Roman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0" w:type="dxa"/>
            <w:tcBorders>
              <w:top w:val="single" w:color="DDDDDD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after="180" w:afterAutospacing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color="DDDDDD" w:sz="6" w:space="0"/>
              <w:left w:val="single" w:color="DDDDDD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color w:val="333333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ind w:left="0" w:firstLine="645"/>
      </w:pPr>
      <w:r>
        <w:rPr>
          <w:rStyle w:val="5"/>
          <w:rFonts w:hint="eastAsia" w:ascii="仿宋_GB2312" w:eastAsia="仿宋_GB2312" w:cs="仿宋_GB2312"/>
          <w:sz w:val="31"/>
          <w:szCs w:val="31"/>
        </w:rPr>
        <w:t>一</w:t>
      </w:r>
      <w:r>
        <w:rPr>
          <w:rStyle w:val="5"/>
          <w:rFonts w:hint="eastAsia" w:ascii="仿宋_GB2312" w:hAnsi="Times New Roman" w:eastAsia="仿宋_GB2312" w:cs="仿宋_GB2312"/>
          <w:sz w:val="31"/>
          <w:szCs w:val="31"/>
        </w:rPr>
        <w:t>是公开政府信息的主动性不够强</w:t>
      </w:r>
      <w:r>
        <w:rPr>
          <w:rStyle w:val="5"/>
          <w:rFonts w:hint="eastAsia" w:ascii="仿宋_GB2312" w:eastAsia="仿宋_GB2312" w:cs="仿宋_GB2312"/>
          <w:sz w:val="31"/>
          <w:szCs w:val="31"/>
        </w:rPr>
        <w:t>。</w:t>
      </w:r>
      <w:r>
        <w:rPr>
          <w:rFonts w:hint="eastAsia" w:ascii="仿宋_GB2312" w:hAnsi="Times New Roman" w:eastAsia="仿宋_GB2312" w:cs="仿宋_GB2312"/>
          <w:sz w:val="31"/>
          <w:szCs w:val="31"/>
        </w:rPr>
        <w:t>信息公开时间相对滞后、不及时。未能及时将政府工作动态上传至政务公开平台，导致群众通过镇政府门户网了解政府信息不全面、不迅速。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</w:pPr>
      <w:r>
        <w:rPr>
          <w:rStyle w:val="5"/>
          <w:rFonts w:hint="eastAsia" w:ascii="仿宋_GB2312" w:eastAsia="仿宋_GB2312" w:cs="仿宋_GB2312"/>
          <w:spacing w:val="0"/>
          <w:sz w:val="31"/>
          <w:szCs w:val="31"/>
          <w:shd w:val="clear" w:fill="FFFFFF"/>
        </w:rPr>
        <w:t>二是政务新媒体监管仍需加强。</w:t>
      </w:r>
      <w:r>
        <w:rPr>
          <w:rFonts w:hint="eastAsia" w:ascii="仿宋_GB2312" w:eastAsia="仿宋_GB2312" w:cs="仿宋_GB2312"/>
          <w:spacing w:val="0"/>
          <w:sz w:val="31"/>
          <w:szCs w:val="31"/>
          <w:shd w:val="clear" w:fill="FFFFFF"/>
        </w:rPr>
        <w:t>当前政务新媒体的日常管理在系统化、常态化上仍有待提高。对此，我街道将进一步完善政务新媒体管理机制，压实工作责任，通过加强常态化管理，及时发现、督促整改运营过程中的问题。</w:t>
      </w:r>
    </w:p>
    <w:p>
      <w:pPr>
        <w:pStyle w:val="2"/>
        <w:keepNext w:val="0"/>
        <w:keepLines w:val="0"/>
        <w:widowControl/>
        <w:suppressLineNumbers w:val="0"/>
        <w:ind w:left="0" w:firstLine="645"/>
        <w:jc w:val="both"/>
      </w:pPr>
      <w:r>
        <w:rPr>
          <w:rFonts w:hint="eastAsia" w:ascii="仿宋_GB2312" w:eastAsia="仿宋_GB2312" w:cs="仿宋_GB2312"/>
          <w:spacing w:val="0"/>
          <w:sz w:val="31"/>
          <w:szCs w:val="31"/>
          <w:shd w:val="clear" w:fill="FFFFFF"/>
        </w:rPr>
        <w:t>改进情况：</w:t>
      </w:r>
    </w:p>
    <w:p>
      <w:pPr>
        <w:pStyle w:val="2"/>
        <w:keepNext w:val="0"/>
        <w:keepLines w:val="0"/>
        <w:widowControl/>
        <w:suppressLineNumbers w:val="0"/>
        <w:ind w:left="0" w:firstLine="615"/>
        <w:jc w:val="both"/>
      </w:pPr>
      <w:r>
        <w:rPr>
          <w:rFonts w:hint="eastAsia" w:ascii="仿宋_GB2312" w:eastAsia="仿宋_GB2312" w:cs="仿宋_GB2312"/>
          <w:spacing w:val="0"/>
          <w:sz w:val="31"/>
          <w:szCs w:val="31"/>
          <w:shd w:val="clear" w:fill="FFFFFF"/>
        </w:rPr>
        <w:t>下一步，我镇将充分利用政务公开网站，充分结合镇微信公众号“潘庄正韵”，两者相辅相成，落实主动公开信息，完善信息公开内容，进一步推动信息公开工作。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ind w:left="0" w:firstLine="555"/>
        <w:jc w:val="both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 xml:space="preserve">无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2021-05-27T02:58:17Z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891C3264DD624EE69E177A9751973712</vt:lpwstr>
  </property>
</Properties>
</file>