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sz w:val="43"/>
          <w:szCs w:val="43"/>
        </w:rPr>
        <w:t>临清市自然资源和规划局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3"/>
          <w:szCs w:val="43"/>
        </w:rPr>
        <w:t>2020年政府信息公开工作年度报告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center"/>
      </w:pPr>
      <w:r>
        <w:rPr>
          <w:rFonts w:ascii="仿宋" w:hAnsi="仿宋" w:eastAsia="仿宋" w:cs="仿宋"/>
          <w:i w:val="0"/>
          <w:iCs w:val="0"/>
          <w:color w:val="000000"/>
          <w:spacing w:val="0"/>
          <w:sz w:val="31"/>
          <w:szCs w:val="3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jc w:val="left"/>
      </w:pPr>
      <w:r>
        <w:rPr>
          <w:rFonts w:ascii="仿宋_GB2312" w:eastAsia="仿宋_GB2312" w:cs="仿宋_GB2312"/>
          <w:color w:val="000000"/>
          <w:sz w:val="31"/>
          <w:szCs w:val="31"/>
        </w:rPr>
        <w:t>2020年，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在市政府信息公开工作领导小组的指导下，临清市自然资源和规划局根据《中华人民共和国政府信息公开条例》和上级部门相关规定，围绕局中心工作，编制了2020年度政府信息公开年度报告。本报告由六部分组成，分别为：总体情况，主动公开政府信息情况，收到和处理政府信息公开申请情况，因政府信息公开工作被申请行政复议、提起行政诉讼情况，政府信息公开工作存在的主要问题及改进情况，其他需要报告的事项等六个部分（报告中所列数据的统计期限自2020年1月1日起至2020年12月31日止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ascii="黑体" w:hAnsi="宋体" w:eastAsia="黑体" w:cs="黑体"/>
          <w:color w:val="000000"/>
          <w:sz w:val="31"/>
          <w:szCs w:val="31"/>
        </w:rPr>
        <w:t>一、年度总体情况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eastAsia" w:ascii="仿宋_GB2312" w:eastAsia="仿宋_GB2312" w:cs="仿宋_GB2312"/>
          <w:color w:val="000000"/>
          <w:sz w:val="31"/>
          <w:szCs w:val="31"/>
        </w:rPr>
        <w:t> 2020年以来，主动公开政务信息402条，在财务决算预算、政策文件解读、权责清单、提案办理、发展规划、不动产信息等重点方面均做到应公开尽公开；局微信公众号发布新闻信息86条，举行了5场公众开放日活动；全年共办理依申请公开23件，较2019年上升109%，办结23件，按时办结率100%</w:t>
      </w:r>
      <w:r>
        <w:rPr>
          <w:rFonts w:hint="eastAsia" w:ascii="宋体" w:hAnsi="宋体" w:eastAsia="宋体" w:cs="宋体"/>
          <w:i w:val="0"/>
          <w:iCs w:val="0"/>
          <w:color w:val="000000"/>
          <w:spacing w:val="0"/>
          <w:sz w:val="24"/>
          <w:szCs w:val="24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Style w:val="5"/>
          <w:rFonts w:hint="eastAsia" w:ascii="仿宋_GB2312" w:eastAsia="仿宋_GB2312" w:cs="仿宋_GB2312"/>
          <w:b/>
          <w:bCs/>
          <w:color w:val="000000"/>
          <w:sz w:val="31"/>
          <w:szCs w:val="31"/>
        </w:rPr>
        <w:t>（一）优化平台建设。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充分利用新媒体平台作为宣传阵地，本年对“2020年国际减灾日”、“2020年测绘法宣传日”和 “第30个全国土地日”等系列主题活动作了重点宣传。利用“政务信息公开、“12345”市民热线、信访反映等渠道及时回应社会关切，依法依规对市民申请公开信息进行按时答复。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Style w:val="5"/>
          <w:rFonts w:hint="eastAsia" w:ascii="仿宋_GB2312" w:eastAsia="仿宋_GB2312" w:cs="仿宋_GB2312"/>
          <w:b/>
          <w:bCs/>
          <w:color w:val="000000"/>
          <w:sz w:val="31"/>
          <w:szCs w:val="31"/>
        </w:rPr>
        <w:t>（二）健全工作机构。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我局结合工作实际,成立了临清市自然资源局政务公开领导小组，领导小组下设办公室，明确专业负责，形成了“主要领导亲自抓，分管领导具体抓，办公室专人抓落实，局属事业单位与科室密切配合”的良好工作机制，在自然资源系统做到了“政务公开工作有人管，具体事务有人办”的良好工作格局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Style w:val="5"/>
          <w:rFonts w:hint="eastAsia" w:ascii="仿宋_GB2312" w:eastAsia="仿宋_GB2312" w:cs="仿宋_GB2312"/>
          <w:b/>
          <w:bCs/>
          <w:color w:val="000000"/>
          <w:sz w:val="31"/>
          <w:szCs w:val="31"/>
        </w:rPr>
        <w:t>（三）加强监督与保密工作。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为进一步做好政府信息公开，我局建立了考核与监督制度并行的工作运行机制，信息公开工作纳入局年度目标考核范围，作为各科室、局属各事业单位年度业绩考核的重要内容之一。同时，我局严格落实信息公开保密责任制，切实做到保密审查工作有领导分管、有机构管理、有专人负责，充分做到了“公开的不涉密，涉密的不公开。”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Fonts w:hint="eastAsia" w:ascii="仿宋_GB2312" w:eastAsia="仿宋_GB2312" w:cs="仿宋_GB2312"/>
          <w:b/>
          <w:bCs/>
          <w:color w:val="000000"/>
          <w:sz w:val="31"/>
          <w:szCs w:val="31"/>
        </w:rPr>
        <w:t>（四）建议提案办理情况。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2020年度，我局共承办建议提案26件，其中，涉及市十八届人大三次会议重点提案14件，市政协十四届三次会议重点提案12件。接到提案后，我局认真做好提案的交办工作，做到了提案答复率100%，并取得各位委员答复意见总体满意的效果。</w:t>
      </w:r>
      <w:r>
        <w:rPr>
          <w:rFonts w:hint="eastAsia" w:ascii="黑体" w:hAnsi="宋体" w:eastAsia="黑体" w:cs="黑体"/>
          <w:color w:val="000000"/>
          <w:sz w:val="31"/>
          <w:szCs w:val="3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Fonts w:hint="eastAsia" w:ascii="仿宋_GB2312" w:hAnsi="宋体" w:eastAsia="仿宋_GB2312" w:cs="仿宋_GB2312"/>
          <w:b/>
          <w:bCs/>
          <w:color w:val="000000"/>
          <w:sz w:val="31"/>
          <w:szCs w:val="31"/>
          <w:shd w:val="clear" w:fill="FFFFFF"/>
        </w:rPr>
        <w:t>（五）政府信息管理情况。</w:t>
      </w:r>
      <w:r>
        <w:rPr>
          <w:rFonts w:hint="eastAsia" w:ascii="仿宋_GB2312" w:eastAsia="仿宋_GB2312" w:cs="仿宋_GB2312"/>
          <w:color w:val="333333"/>
          <w:sz w:val="31"/>
          <w:szCs w:val="31"/>
          <w:shd w:val="clear" w:fill="FFFFFF"/>
        </w:rPr>
        <w:t>根据《中华人民共和国政府信息公开条例》(国务院令 第711号)要求，结合我局实际，进一步加强政府网站信息管理，明确政府信息公开的方式、内容、工作程序及其公开时限，促进信息发布内容及审核工作制度化、规范化，保证发布信息的准确性、及时性、有效性和权威性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Fonts w:hint="eastAsia" w:ascii="黑体" w:hAnsi="宋体" w:eastAsia="黑体" w:cs="黑体"/>
          <w:color w:val="000000"/>
          <w:sz w:val="31"/>
          <w:szCs w:val="31"/>
          <w:shd w:val="clear" w:fill="FFFFFF"/>
        </w:rPr>
        <w:t>二、主动公开政府信息情况</w:t>
      </w:r>
    </w:p>
    <w:tbl>
      <w:tblPr>
        <w:tblW w:w="8715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3075"/>
        <w:gridCol w:w="15"/>
        <w:gridCol w:w="2100"/>
        <w:gridCol w:w="1500"/>
        <w:gridCol w:w="2025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87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70" w:hRule="atLeast"/>
        </w:trPr>
        <w:tc>
          <w:tcPr>
            <w:tcW w:w="307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本年新制作数量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公开数量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对外公开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总数量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05" w:hRule="atLeast"/>
        </w:trPr>
        <w:tc>
          <w:tcPr>
            <w:tcW w:w="307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规章</w:t>
            </w:r>
          </w:p>
        </w:tc>
        <w:tc>
          <w:tcPr>
            <w:tcW w:w="21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  <w:r>
              <w:rPr>
                <w:bdr w:val="none" w:color="auto" w:sz="0" w:space="0"/>
              </w:rPr>
              <w:t>　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05" w:hRule="atLeast"/>
        </w:trPr>
        <w:tc>
          <w:tcPr>
            <w:tcW w:w="307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规范性文件</w:t>
            </w:r>
          </w:p>
        </w:tc>
        <w:tc>
          <w:tcPr>
            <w:tcW w:w="21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  <w:r>
              <w:rPr>
                <w:bdr w:val="none" w:color="auto" w:sz="0" w:space="0"/>
              </w:rPr>
              <w:t>　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</w:trPr>
        <w:tc>
          <w:tcPr>
            <w:tcW w:w="8715" w:type="dxa"/>
            <w:gridSpan w:val="5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</w:trPr>
        <w:tc>
          <w:tcPr>
            <w:tcW w:w="307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上一年项目数量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本年增/减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307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行政许可</w:t>
            </w:r>
          </w:p>
        </w:tc>
        <w:tc>
          <w:tcPr>
            <w:tcW w:w="21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+1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135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</w:trPr>
        <w:tc>
          <w:tcPr>
            <w:tcW w:w="307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其他对外管理服务事项</w:t>
            </w:r>
          </w:p>
        </w:tc>
        <w:tc>
          <w:tcPr>
            <w:tcW w:w="21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 0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95" w:hRule="atLeast"/>
        </w:trPr>
        <w:tc>
          <w:tcPr>
            <w:tcW w:w="8715" w:type="dxa"/>
            <w:gridSpan w:val="5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40" w:hRule="atLeast"/>
        </w:trPr>
        <w:tc>
          <w:tcPr>
            <w:tcW w:w="307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上一年项目数量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本年增/减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35" w:hRule="atLeast"/>
        </w:trPr>
        <w:tc>
          <w:tcPr>
            <w:tcW w:w="307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行政处罚</w:t>
            </w:r>
          </w:p>
        </w:tc>
        <w:tc>
          <w:tcPr>
            <w:tcW w:w="21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227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-2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60" w:hRule="atLeast"/>
        </w:trPr>
        <w:tc>
          <w:tcPr>
            <w:tcW w:w="307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行政强制</w:t>
            </w:r>
          </w:p>
        </w:tc>
        <w:tc>
          <w:tcPr>
            <w:tcW w:w="21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-1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</w:trPr>
        <w:tc>
          <w:tcPr>
            <w:tcW w:w="8715" w:type="dxa"/>
            <w:gridSpan w:val="5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307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21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上一年项目数量</w:t>
            </w:r>
          </w:p>
        </w:tc>
        <w:tc>
          <w:tcPr>
            <w:tcW w:w="3525" w:type="dxa"/>
            <w:gridSpan w:val="2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本年增/减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35" w:hRule="atLeast"/>
        </w:trPr>
        <w:tc>
          <w:tcPr>
            <w:tcW w:w="307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行政事业性收费</w:t>
            </w:r>
          </w:p>
        </w:tc>
        <w:tc>
          <w:tcPr>
            <w:tcW w:w="21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</w:trPr>
        <w:tc>
          <w:tcPr>
            <w:tcW w:w="8715" w:type="dxa"/>
            <w:gridSpan w:val="5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第二十条第（九）项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20" w:hRule="atLeast"/>
        </w:trPr>
        <w:tc>
          <w:tcPr>
            <w:tcW w:w="3090" w:type="dxa"/>
            <w:gridSpan w:val="2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采购项目数量</w:t>
            </w:r>
          </w:p>
        </w:tc>
        <w:tc>
          <w:tcPr>
            <w:tcW w:w="3525" w:type="dxa"/>
            <w:gridSpan w:val="2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采购总金额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65" w:hRule="atLeast"/>
        </w:trPr>
        <w:tc>
          <w:tcPr>
            <w:tcW w:w="3090" w:type="dxa"/>
            <w:gridSpan w:val="2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政府集中采购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35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13164.14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40" w:afterAutospacing="0" w:line="315" w:lineRule="atLeast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40" w:afterAutospacing="0" w:line="315" w:lineRule="atLeast"/>
        <w:jc w:val="both"/>
        <w:rPr>
          <w:rFonts w:ascii="Calibri" w:hAnsi="Calibri" w:cs="Calibri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olor w:val="000000"/>
          <w:sz w:val="31"/>
          <w:szCs w:val="31"/>
          <w:shd w:val="clear" w:fill="FFFFFF"/>
        </w:rPr>
        <w:t>    三、收到和处理政府信息公开申请情况</w:t>
      </w:r>
    </w:p>
    <w:tbl>
      <w:tblPr>
        <w:tblW w:w="9075" w:type="dxa"/>
        <w:jc w:val="center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590"/>
        <w:gridCol w:w="1413"/>
        <w:gridCol w:w="2801"/>
        <w:gridCol w:w="848"/>
        <w:gridCol w:w="566"/>
        <w:gridCol w:w="565"/>
        <w:gridCol w:w="565"/>
        <w:gridCol w:w="565"/>
        <w:gridCol w:w="535"/>
        <w:gridCol w:w="627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20" w:hRule="atLeast"/>
          <w:jc w:val="center"/>
        </w:trPr>
        <w:tc>
          <w:tcPr>
            <w:tcW w:w="478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（本列数据的勾稽关系为：第一项加第二项之和，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等于第三项加第四项之和）</w:t>
            </w:r>
          </w:p>
        </w:tc>
        <w:tc>
          <w:tcPr>
            <w:tcW w:w="4290" w:type="dxa"/>
            <w:gridSpan w:val="7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20" w:hRule="atLeast"/>
          <w:jc w:val="center"/>
        </w:trPr>
        <w:tc>
          <w:tcPr>
            <w:tcW w:w="478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自然人</w:t>
            </w:r>
          </w:p>
        </w:tc>
        <w:tc>
          <w:tcPr>
            <w:tcW w:w="2805" w:type="dxa"/>
            <w:gridSpan w:val="5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法人或其他组织</w:t>
            </w:r>
          </w:p>
        </w:tc>
        <w:tc>
          <w:tcPr>
            <w:tcW w:w="630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125" w:hRule="atLeast"/>
          <w:jc w:val="center"/>
        </w:trPr>
        <w:tc>
          <w:tcPr>
            <w:tcW w:w="478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-105" w:right="-105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商业企业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科研机构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社会公益组织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-105" w:right="-105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法律服务机构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-60" w:right="-135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其他</w:t>
            </w:r>
          </w:p>
        </w:tc>
        <w:tc>
          <w:tcPr>
            <w:tcW w:w="63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4785" w:type="dxa"/>
            <w:gridSpan w:val="3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1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4785" w:type="dxa"/>
            <w:gridSpan w:val="3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1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525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三、本年度办理结果</w:t>
            </w:r>
          </w:p>
        </w:tc>
        <w:tc>
          <w:tcPr>
            <w:tcW w:w="4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ascii="楷体" w:hAnsi="楷体" w:eastAsia="楷体" w:cs="楷体"/>
                <w:color w:val="000000"/>
                <w:sz w:val="19"/>
                <w:szCs w:val="19"/>
                <w:bdr w:val="none" w:color="auto" w:sz="0" w:space="0"/>
              </w:rPr>
              <w:t>（一）予以公开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楷体" w:hAnsi="楷体" w:eastAsia="楷体" w:cs="楷体"/>
                <w:color w:val="000000"/>
                <w:sz w:val="19"/>
                <w:szCs w:val="19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-105" w:right="0"/>
            </w:pPr>
            <w:r>
              <w:rPr>
                <w:rFonts w:hint="eastAsia" w:ascii="楷体" w:hAnsi="楷体" w:eastAsia="楷体" w:cs="楷体"/>
                <w:color w:val="000000"/>
                <w:sz w:val="19"/>
                <w:szCs w:val="19"/>
                <w:bdr w:val="none" w:color="auto" w:sz="0" w:space="0"/>
              </w:rPr>
              <w:t>（三）不予公开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0" w:right="0"/>
            </w:pPr>
            <w:r>
              <w:rPr>
                <w:rFonts w:hint="eastAsia" w:ascii="楷体" w:hAnsi="楷体" w:eastAsia="楷体" w:cs="楷体"/>
                <w:color w:val="000000"/>
                <w:sz w:val="19"/>
                <w:szCs w:val="19"/>
                <w:bdr w:val="none" w:color="auto" w:sz="0" w:space="0"/>
              </w:rPr>
              <w:t>1.属于国家秘密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0" w:right="0"/>
            </w:pPr>
            <w:r>
              <w:rPr>
                <w:rFonts w:hint="eastAsia" w:ascii="楷体" w:hAnsi="楷体" w:eastAsia="楷体" w:cs="楷体"/>
                <w:color w:val="000000"/>
                <w:sz w:val="19"/>
                <w:szCs w:val="19"/>
                <w:bdr w:val="none" w:color="auto" w:sz="0" w:space="0"/>
              </w:rPr>
              <w:t>2.其他法律行政法规禁止公开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0" w:right="0"/>
            </w:pPr>
            <w:r>
              <w:rPr>
                <w:rFonts w:hint="eastAsia" w:ascii="楷体" w:hAnsi="楷体" w:eastAsia="楷体" w:cs="楷体"/>
                <w:color w:val="000000"/>
                <w:sz w:val="19"/>
                <w:szCs w:val="19"/>
                <w:bdr w:val="none" w:color="auto" w:sz="0" w:space="0"/>
              </w:rPr>
              <w:t>3.危及“三安全一稳定”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0" w:right="0"/>
            </w:pPr>
            <w:r>
              <w:rPr>
                <w:rFonts w:hint="eastAsia" w:ascii="楷体" w:hAnsi="楷体" w:eastAsia="楷体" w:cs="楷体"/>
                <w:color w:val="000000"/>
                <w:sz w:val="19"/>
                <w:szCs w:val="19"/>
                <w:bdr w:val="none" w:color="auto" w:sz="0" w:space="0"/>
              </w:rPr>
              <w:t>4.保护第三方合法权益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0" w:right="0"/>
            </w:pPr>
            <w:r>
              <w:rPr>
                <w:rFonts w:hint="eastAsia" w:ascii="楷体" w:hAnsi="楷体" w:eastAsia="楷体" w:cs="楷体"/>
                <w:color w:val="000000"/>
                <w:sz w:val="19"/>
                <w:szCs w:val="19"/>
                <w:bdr w:val="none" w:color="auto" w:sz="0" w:space="0"/>
              </w:rPr>
              <w:t>5.属于三类内部事务信息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0" w:right="0"/>
            </w:pPr>
            <w:r>
              <w:rPr>
                <w:rFonts w:hint="eastAsia" w:ascii="楷体" w:hAnsi="楷体" w:eastAsia="楷体" w:cs="楷体"/>
                <w:color w:val="000000"/>
                <w:sz w:val="19"/>
                <w:szCs w:val="19"/>
                <w:bdr w:val="none" w:color="auto" w:sz="0" w:space="0"/>
              </w:rPr>
              <w:t>6.属于四类过程性信息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195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0" w:right="0"/>
            </w:pPr>
            <w:r>
              <w:rPr>
                <w:rFonts w:hint="eastAsia" w:ascii="楷体" w:hAnsi="楷体" w:eastAsia="楷体" w:cs="楷体"/>
                <w:color w:val="000000"/>
                <w:sz w:val="19"/>
                <w:szCs w:val="19"/>
                <w:bdr w:val="none" w:color="auto" w:sz="0" w:space="0"/>
              </w:rPr>
              <w:t>7.属于行政执法案卷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0" w:right="0"/>
            </w:pPr>
            <w:r>
              <w:rPr>
                <w:rFonts w:hint="eastAsia" w:ascii="楷体" w:hAnsi="楷体" w:eastAsia="楷体" w:cs="楷体"/>
                <w:color w:val="000000"/>
                <w:sz w:val="19"/>
                <w:szCs w:val="19"/>
                <w:bdr w:val="none" w:color="auto" w:sz="0" w:space="0"/>
              </w:rPr>
              <w:t>8.属于行政查询事项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-105" w:right="0"/>
            </w:pPr>
            <w:r>
              <w:rPr>
                <w:rFonts w:hint="eastAsia" w:ascii="楷体" w:hAnsi="楷体" w:eastAsia="楷体" w:cs="楷体"/>
                <w:color w:val="000000"/>
                <w:sz w:val="19"/>
                <w:szCs w:val="19"/>
                <w:bdr w:val="none" w:color="auto" w:sz="0" w:space="0"/>
              </w:rPr>
              <w:t>（四）无法提供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0" w:right="0"/>
            </w:pPr>
            <w:r>
              <w:rPr>
                <w:rFonts w:hint="eastAsia" w:ascii="楷体" w:hAnsi="楷体" w:eastAsia="楷体" w:cs="楷体"/>
                <w:color w:val="000000"/>
                <w:sz w:val="19"/>
                <w:szCs w:val="19"/>
                <w:bdr w:val="none" w:color="auto" w:sz="0" w:space="0"/>
              </w:rPr>
              <w:t>1.本机关不掌握相关政府信息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195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0" w:right="0"/>
            </w:pPr>
            <w:r>
              <w:rPr>
                <w:rFonts w:hint="eastAsia" w:ascii="楷体" w:hAnsi="楷体" w:eastAsia="楷体" w:cs="楷体"/>
                <w:color w:val="000000"/>
                <w:sz w:val="19"/>
                <w:szCs w:val="19"/>
                <w:bdr w:val="none" w:color="auto" w:sz="0" w:space="0"/>
              </w:rPr>
              <w:t>2.没有现成信息需要另行制作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0" w:right="0"/>
            </w:pPr>
            <w:r>
              <w:rPr>
                <w:rFonts w:hint="eastAsia" w:ascii="楷体" w:hAnsi="楷体" w:eastAsia="楷体" w:cs="楷体"/>
                <w:color w:val="000000"/>
                <w:sz w:val="19"/>
                <w:szCs w:val="19"/>
                <w:bdr w:val="none" w:color="auto" w:sz="0" w:space="0"/>
              </w:rPr>
              <w:t>3.补正后申请内容仍不明确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-105" w:right="0"/>
            </w:pPr>
            <w:r>
              <w:rPr>
                <w:rFonts w:hint="eastAsia" w:ascii="楷体" w:hAnsi="楷体" w:eastAsia="楷体" w:cs="楷体"/>
                <w:color w:val="000000"/>
                <w:sz w:val="19"/>
                <w:szCs w:val="19"/>
                <w:bdr w:val="none" w:color="auto" w:sz="0" w:space="0"/>
              </w:rPr>
              <w:t>（五）不予处理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0" w:right="0"/>
            </w:pPr>
            <w:r>
              <w:rPr>
                <w:rFonts w:hint="eastAsia" w:ascii="楷体" w:hAnsi="楷体" w:eastAsia="楷体" w:cs="楷体"/>
                <w:color w:val="000000"/>
                <w:sz w:val="19"/>
                <w:szCs w:val="19"/>
                <w:bdr w:val="none" w:color="auto" w:sz="0" w:space="0"/>
              </w:rPr>
              <w:t>1.信访举报投诉类申请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0" w:right="0"/>
            </w:pPr>
            <w:r>
              <w:rPr>
                <w:rFonts w:hint="eastAsia" w:ascii="楷体" w:hAnsi="楷体" w:eastAsia="楷体" w:cs="楷体"/>
                <w:color w:val="000000"/>
                <w:sz w:val="19"/>
                <w:szCs w:val="19"/>
                <w:bdr w:val="none" w:color="auto" w:sz="0" w:space="0"/>
              </w:rPr>
              <w:t>2.重复申请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0" w:right="0"/>
            </w:pPr>
            <w:r>
              <w:rPr>
                <w:rFonts w:hint="eastAsia" w:ascii="楷体" w:hAnsi="楷体" w:eastAsia="楷体" w:cs="楷体"/>
                <w:color w:val="000000"/>
                <w:sz w:val="19"/>
                <w:szCs w:val="19"/>
                <w:bdr w:val="none" w:color="auto" w:sz="0" w:space="0"/>
              </w:rPr>
              <w:t>3.要求提供公开出版物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90" w:hRule="atLeast"/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0" w:right="0"/>
            </w:pPr>
            <w:r>
              <w:rPr>
                <w:rFonts w:hint="eastAsia" w:ascii="楷体" w:hAnsi="楷体" w:eastAsia="楷体" w:cs="楷体"/>
                <w:color w:val="000000"/>
                <w:sz w:val="19"/>
                <w:szCs w:val="19"/>
                <w:bdr w:val="none" w:color="auto" w:sz="0" w:space="0"/>
              </w:rPr>
              <w:t>4.无正当理由大量反复申请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楷体" w:hAnsi="楷体" w:eastAsia="楷体" w:cs="楷体"/>
                <w:color w:val="000000"/>
                <w:sz w:val="19"/>
                <w:szCs w:val="19"/>
                <w:bdr w:val="none" w:color="auto" w:sz="0" w:space="0"/>
              </w:rPr>
              <w:t>5.要求行政机关确认或重新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195"/>
            </w:pPr>
            <w:r>
              <w:rPr>
                <w:rFonts w:hint="eastAsia" w:ascii="楷体" w:hAnsi="楷体" w:eastAsia="楷体" w:cs="楷体"/>
                <w:color w:val="000000"/>
                <w:sz w:val="19"/>
                <w:szCs w:val="19"/>
                <w:bdr w:val="none" w:color="auto" w:sz="0" w:space="0"/>
              </w:rPr>
              <w:t>出具已获取信息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90" w:hRule="atLeast"/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0" w:right="0"/>
            </w:pPr>
            <w:r>
              <w:rPr>
                <w:rFonts w:hint="eastAsia" w:ascii="楷体" w:hAnsi="楷体" w:eastAsia="楷体" w:cs="楷体"/>
                <w:color w:val="000000"/>
                <w:sz w:val="19"/>
                <w:szCs w:val="19"/>
                <w:bdr w:val="none" w:color="auto" w:sz="0" w:space="0"/>
              </w:rPr>
              <w:t>（六）其他处理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05" w:hRule="atLeast"/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0" w:right="0"/>
            </w:pPr>
            <w:r>
              <w:rPr>
                <w:rFonts w:hint="eastAsia" w:ascii="楷体" w:hAnsi="楷体" w:eastAsia="楷体" w:cs="楷体"/>
                <w:color w:val="000000"/>
                <w:sz w:val="19"/>
                <w:szCs w:val="19"/>
                <w:bdr w:val="none" w:color="auto" w:sz="0" w:space="0"/>
              </w:rPr>
              <w:t>（七）总计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195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4785" w:type="dxa"/>
            <w:gridSpan w:val="3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四、结转下年度继续办理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40" w:afterAutospacing="0" w:line="315" w:lineRule="atLeast"/>
        <w:jc w:val="both"/>
        <w:rPr>
          <w:rFonts w:hint="default" w:ascii="Calibri" w:hAnsi="Calibri" w:cs="Calibri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olor w:val="000000"/>
          <w:sz w:val="31"/>
          <w:szCs w:val="31"/>
          <w:shd w:val="clear" w:fill="FFFFFF"/>
        </w:rPr>
        <w:t>    四、政府信息公开行政复议、行政诉讼情况</w:t>
      </w:r>
    </w:p>
    <w:tbl>
      <w:tblPr>
        <w:tblW w:w="9075" w:type="dxa"/>
        <w:jc w:val="center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95" w:hRule="atLeast"/>
          <w:jc w:val="center"/>
        </w:trPr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40" w:hRule="atLeast"/>
          <w:jc w:val="center"/>
        </w:trPr>
        <w:tc>
          <w:tcPr>
            <w:tcW w:w="600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-150" w:right="-165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-150" w:right="-165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维持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-45" w:right="-135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-75" w:right="-9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-120" w:right="-1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-120" w:right="-1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审结</w:t>
            </w:r>
          </w:p>
        </w:tc>
        <w:tc>
          <w:tcPr>
            <w:tcW w:w="660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  <w:jc w:val="center"/>
        </w:trPr>
        <w:tc>
          <w:tcPr>
            <w:tcW w:w="60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-105" w:right="-1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结果维持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-90" w:right="-9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结果纠正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-120" w:right="-135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-120" w:right="-135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结果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-165" w:right="-15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-165" w:right="-15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审结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总计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-105" w:right="-75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结果维持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-135" w:right="-1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-135" w:right="-1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纠正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-180" w:right="-135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-180" w:right="-135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结果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-60" w:right="-105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尚未审结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 0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315" w:lineRule="atLeast"/>
        <w:ind w:left="0" w:right="0" w:firstLine="0"/>
        <w:jc w:val="both"/>
      </w:pPr>
      <w:r>
        <w:rPr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</w:pPr>
      <w:r>
        <w:rPr>
          <w:rFonts w:hint="eastAsia" w:ascii="黑体" w:hAnsi="宋体" w:eastAsia="黑体" w:cs="黑体"/>
          <w:color w:val="000000"/>
          <w:sz w:val="31"/>
          <w:szCs w:val="31"/>
        </w:rPr>
        <w:t>    五、政府信息公开工作存在的主要问题及改进情况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0"/>
      </w:pPr>
      <w:r>
        <w:rPr>
          <w:rFonts w:hint="eastAsia" w:ascii="仿宋_GB2312" w:eastAsia="仿宋_GB2312" w:cs="仿宋_GB2312"/>
          <w:color w:val="000000"/>
          <w:sz w:val="31"/>
          <w:szCs w:val="31"/>
        </w:rPr>
        <w:t>    2020年，在市政府信息公开工作领导小组的指导下，我局政府信息公开工作虽然取得了一定的成效，但仍然存在一些问题：一、依申请公开的数量较多，答复难度较大，需进一步探索由依申请公开向主动公开转化的路径。二、需要主动公开的政府信息更新不及时，公开的内容不够全面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15"/>
      </w:pPr>
      <w:r>
        <w:rPr>
          <w:rFonts w:hint="eastAsia" w:ascii="仿宋_GB2312" w:eastAsia="仿宋_GB2312" w:cs="仿宋_GB2312"/>
          <w:i w:val="0"/>
          <w:iCs w:val="0"/>
          <w:color w:val="000000"/>
          <w:spacing w:val="0"/>
          <w:sz w:val="31"/>
          <w:szCs w:val="31"/>
        </w:rPr>
        <w:t>在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今后的工作中，我局将进一步加强信息公开制度的落实，加强对政府信息公开工作人员的教育培训，围绕自然资源和规划中心工作，细化政府信息公开工作目录，着力强化重点领域信息公开力度，突出做好重点领域信息公开工作，努力做到信息及时公开，公开信息全面，信息内容有质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eastAsia" w:ascii="黑体" w:hAnsi="宋体" w:eastAsia="黑体" w:cs="黑体"/>
          <w:color w:val="000000"/>
          <w:sz w:val="31"/>
          <w:szCs w:val="31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eastAsia" w:ascii="仿宋_GB2312" w:eastAsia="仿宋_GB2312" w:cs="仿宋_GB2312"/>
          <w:color w:val="000000"/>
          <w:sz w:val="31"/>
          <w:szCs w:val="31"/>
        </w:rPr>
        <w:t>没有其他需要报告的事项。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</w:pPr>
      <w:r>
        <w:rPr>
          <w:rFonts w:hint="default" w:ascii="Calibri" w:hAnsi="Calibri" w:cs="Calibri"/>
          <w:color w:val="000000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</w:pPr>
      <w:r>
        <w:rPr>
          <w:rFonts w:hint="default" w:ascii="Calibri" w:hAnsi="Calibri" w:cs="Calibri"/>
          <w:color w:val="000000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</w:pPr>
      <w:r>
        <w:t>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</w:pPr>
    </w:p>
    <w:p>
      <w:pPr>
        <w:pStyle w:val="2"/>
        <w:keepNext w:val="0"/>
        <w:keepLines w:val="0"/>
        <w:widowControl/>
        <w:suppressLineNumbers w:val="0"/>
        <w:spacing w:line="315" w:lineRule="atLeas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汉语拼音标准四线手写体(a直兼容版)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语拼音标准四线手写体(a直兼容版)">
    <w:panose1 w:val="02000500000000000000"/>
    <w:charset w:val="00"/>
    <w:family w:val="auto"/>
    <w:pitch w:val="default"/>
    <w:sig w:usb0="800000A7" w:usb1="5000004A" w:usb2="00000000" w:usb3="00000000" w:csb0="20000111" w:csb1="41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97064"/>
    <w:rsid w:val="57F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2021-05-26T10:00:00Z</dcterms:created>
  <dc:creator>张张</dc:creator>
  <cp:lastModifiedBy>张张</cp:lastModifiedBy>
  <dcterms:modified xsi:type="dcterms:W3CDTF">2021-05-26T10:01:00Z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88984CD68B1A48A9B658FDF2F81BADB1</vt:lpwstr>
  </property>
</Properties>
</file>