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285" w:afterAutospacing="0" w:line="555" w:lineRule="atLeast"/>
        <w:ind w:left="0" w:right="0" w:firstLine="0"/>
        <w:jc w:val="center"/>
        <w:rPr>
          <w:rFonts w:ascii="sans-serif" w:hAnsi="sans-serif" w:eastAsia="sans-serif" w:cs="sans-serif"/>
          <w:i w:val="0"/>
          <w:iCs w:val="0"/>
          <w:caps w:val="0"/>
          <w:color w:val="000000"/>
          <w:spacing w:val="0"/>
          <w:sz w:val="27"/>
          <w:szCs w:val="27"/>
        </w:rPr>
      </w:pPr>
      <w:r>
        <w:rPr>
          <w:rFonts w:ascii="方正小标宋简体" w:hAnsi="方正小标宋简体" w:eastAsia="方正小标宋简体" w:cs="方正小标宋简体"/>
          <w:i w:val="0"/>
          <w:iCs w:val="0"/>
          <w:caps w:val="0"/>
          <w:color w:val="000000"/>
          <w:spacing w:val="0"/>
          <w:sz w:val="48"/>
          <w:szCs w:val="48"/>
          <w:shd w:val="clear" w:fill="FFFFFF"/>
        </w:rPr>
        <w:t>临清市交通运输局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5" w:beforeAutospacing="0" w:after="285" w:afterAutospacing="0" w:line="555" w:lineRule="atLeast"/>
        <w:ind w:left="0" w:right="0" w:firstLine="0"/>
        <w:jc w:val="center"/>
        <w:rPr>
          <w:rFonts w:hint="default" w:ascii="sans-serif" w:hAnsi="sans-serif" w:eastAsia="sans-serif" w:cs="sans-serif"/>
          <w:i w:val="0"/>
          <w:iCs w:val="0"/>
          <w:caps w:val="0"/>
          <w:color w:val="000000"/>
          <w:spacing w:val="0"/>
          <w:sz w:val="27"/>
          <w:szCs w:val="27"/>
        </w:rPr>
      </w:pPr>
      <w:r>
        <w:rPr>
          <w:rFonts w:hint="eastAsia" w:ascii="方正小标宋简体" w:hAnsi="方正小标宋简体" w:eastAsia="方正小标宋简体" w:cs="方正小标宋简体"/>
          <w:i w:val="0"/>
          <w:iCs w:val="0"/>
          <w:caps w:val="0"/>
          <w:color w:val="000000"/>
          <w:spacing w:val="0"/>
          <w:sz w:val="48"/>
          <w:szCs w:val="48"/>
          <w:shd w:val="clear" w:fill="FFFFFF"/>
        </w:rPr>
        <w:t>2022年度政府信息公开工作年度报告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sans-serif" w:hAnsi="sans-serif" w:eastAsia="sans-serif" w:cs="sans-serif"/>
          <w:i w:val="0"/>
          <w:iCs w:val="0"/>
          <w:caps w:val="0"/>
          <w:color w:val="000000"/>
          <w:spacing w:val="0"/>
          <w:sz w:val="27"/>
          <w:szCs w:val="27"/>
        </w:rPr>
      </w:pPr>
      <w:r>
        <w:rPr>
          <w:rFonts w:ascii="仿宋_GB2312" w:hAnsi="sans-serif" w:eastAsia="仿宋_GB2312" w:cs="仿宋_GB2312"/>
          <w:i w:val="0"/>
          <w:iCs w:val="0"/>
          <w:caps w:val="0"/>
          <w:color w:val="000000"/>
          <w:spacing w:val="0"/>
          <w:sz w:val="31"/>
          <w:szCs w:val="31"/>
          <w:shd w:val="clear" w:fill="FFFFFF"/>
        </w:rPr>
        <w:t>根据新修订的《中华人民共和国政府信息公开条例》和国务院办公厅政府信息与政务公开办公室关于印发《中华人民共和国政府信息公开工作年度报告格式》的通知（国办公开办函〔2021〕30号）和省政府办公厅《政府信息公开年度报告编发指南》，对年度报告编制要求，以及聊城市及临清市政府对政务公开工作的要求，现将2022年政府信息公开年度报告如下： 本报告由总体情况、主动公开政府信息情况、收到和处理政府信息公开申请情况、政府信息公开工作被申请行政复议、提起行政诉讼情况、政府信息公开工作存在的主要问题及改进情况、其他需要报告的事项需要说明的事项等六部分组成。本报告中所列数据的统计时限为2022年1月1日至2022年12月31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sans-serif" w:hAnsi="sans-serif" w:eastAsia="sans-serif" w:cs="sans-serif"/>
          <w:i w:val="0"/>
          <w:iCs w:val="0"/>
          <w:caps w:val="0"/>
          <w:color w:val="000000"/>
          <w:spacing w:val="0"/>
          <w:sz w:val="27"/>
          <w:szCs w:val="27"/>
        </w:rPr>
      </w:pPr>
      <w:r>
        <w:rPr>
          <w:rFonts w:ascii="黑体" w:hAnsi="宋体" w:eastAsia="黑体" w:cs="黑体"/>
          <w:i w:val="0"/>
          <w:iCs w:val="0"/>
          <w:caps w:val="0"/>
          <w:color w:val="000000"/>
          <w:spacing w:val="0"/>
          <w:sz w:val="31"/>
          <w:szCs w:val="31"/>
          <w:shd w:val="clear" w:fill="FFFFFF"/>
        </w:rPr>
        <w:t>一、</w:t>
      </w:r>
      <w:r>
        <w:rPr>
          <w:rFonts w:hint="eastAsia" w:ascii="黑体" w:hAnsi="宋体" w:eastAsia="黑体" w:cs="黑体"/>
          <w:i w:val="0"/>
          <w:iCs w:val="0"/>
          <w:caps w:val="0"/>
          <w:color w:val="000000"/>
          <w:spacing w:val="0"/>
          <w:sz w:val="31"/>
          <w:szCs w:val="31"/>
          <w:shd w:val="clear" w:fill="FFFFFF"/>
        </w:rPr>
        <w:t>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sans-serif" w:eastAsia="仿宋_GB2312" w:cs="仿宋_GB2312"/>
          <w:i w:val="0"/>
          <w:iCs w:val="0"/>
          <w:caps w:val="0"/>
          <w:color w:val="000000"/>
          <w:spacing w:val="0"/>
          <w:sz w:val="31"/>
          <w:szCs w:val="31"/>
          <w:shd w:val="clear" w:fill="FFFFFF"/>
        </w:rPr>
      </w:pPr>
      <w:r>
        <w:rPr>
          <w:rFonts w:hint="eastAsia" w:ascii="仿宋_GB2312" w:hAnsi="sans-serif" w:eastAsia="仿宋_GB2312" w:cs="仿宋_GB2312"/>
          <w:i w:val="0"/>
          <w:iCs w:val="0"/>
          <w:caps w:val="0"/>
          <w:color w:val="000000"/>
          <w:spacing w:val="0"/>
          <w:sz w:val="31"/>
          <w:szCs w:val="31"/>
          <w:shd w:val="clear" w:fill="FFFFFF"/>
        </w:rPr>
        <w:t>（一）主动公开。2022年在临清市政务网主动公开：机构职能3条，管理和服务公开2条，行政执法公示5条，重大部署执行公开2条，建议提案办理22条，基础建设2条，公共企事业单位信息公开3条。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仿宋_GB2312" w:hAnsi="sans-serif" w:eastAsia="仿宋_GB2312" w:cs="仿宋_GB2312"/>
          <w:i w:val="0"/>
          <w:iCs w:val="0"/>
          <w:caps w:val="0"/>
          <w:color w:val="000000"/>
          <w:spacing w:val="0"/>
          <w:sz w:val="31"/>
          <w:szCs w:val="31"/>
          <w:shd w:val="clear" w:fill="FFFFFF"/>
        </w:rPr>
      </w:pPr>
      <w:r>
        <w:rPr>
          <w:rFonts w:hint="eastAsia" w:ascii="仿宋_GB2312" w:hAnsi="sans-serif" w:eastAsia="仿宋_GB2312" w:cs="仿宋_GB2312"/>
          <w:i w:val="0"/>
          <w:iCs w:val="0"/>
          <w:caps w:val="0"/>
          <w:color w:val="000000"/>
          <w:spacing w:val="0"/>
          <w:sz w:val="31"/>
          <w:szCs w:val="31"/>
          <w:shd w:val="clear" w:fill="FFFFFF"/>
        </w:rPr>
        <w:t>（二）依申请公开。2022年度，市交通运输局未收到信息公开的申请。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20" w:firstLineChars="200"/>
        <w:jc w:val="both"/>
        <w:textAlignment w:val="auto"/>
        <w:rPr>
          <w:rFonts w:hint="eastAsia" w:ascii="仿宋_GB2312" w:hAnsi="sans-serif" w:eastAsia="仿宋_GB2312" w:cs="仿宋_GB2312"/>
          <w:i w:val="0"/>
          <w:iCs w:val="0"/>
          <w:caps w:val="0"/>
          <w:color w:val="000000"/>
          <w:spacing w:val="0"/>
          <w:sz w:val="31"/>
          <w:szCs w:val="31"/>
          <w:shd w:val="clear" w:fill="FFFFFF"/>
        </w:rPr>
      </w:pPr>
      <w:r>
        <w:rPr>
          <w:rFonts w:hint="eastAsia" w:ascii="仿宋_GB2312" w:hAnsi="sans-serif" w:eastAsia="仿宋_GB2312" w:cs="仿宋_GB2312"/>
          <w:i w:val="0"/>
          <w:iCs w:val="0"/>
          <w:caps w:val="0"/>
          <w:color w:val="000000"/>
          <w:spacing w:val="0"/>
          <w:sz w:val="31"/>
          <w:szCs w:val="31"/>
          <w:shd w:val="clear" w:fill="FFFFFF"/>
        </w:rPr>
        <w:t>（三）</w:t>
      </w:r>
      <w:r>
        <w:rPr>
          <w:rFonts w:hint="eastAsia" w:ascii="仿宋_GB2312" w:eastAsia="仿宋_GB2312" w:cs="仿宋_GB2312"/>
          <w:spacing w:val="0"/>
          <w:sz w:val="31"/>
          <w:szCs w:val="31"/>
          <w:shd w:val="clear" w:fill="FFFFFF"/>
        </w:rPr>
        <w:t>政府信息管理。</w:t>
      </w:r>
      <w:r>
        <w:rPr>
          <w:rFonts w:hint="eastAsia" w:ascii="仿宋_GB2312" w:eastAsia="仿宋_GB2312" w:cs="仿宋_GB2312"/>
          <w:spacing w:val="0"/>
          <w:sz w:val="31"/>
          <w:szCs w:val="31"/>
          <w:shd w:val="clear" w:fill="FFFFFF"/>
          <w:lang w:eastAsia="zh-CN"/>
        </w:rPr>
        <w:t>临清市</w:t>
      </w:r>
      <w:r>
        <w:rPr>
          <w:rFonts w:hint="eastAsia" w:ascii="仿宋_GB2312" w:eastAsia="仿宋_GB2312" w:cs="仿宋_GB2312"/>
          <w:spacing w:val="0"/>
          <w:sz w:val="31"/>
          <w:szCs w:val="31"/>
          <w:shd w:val="clear" w:fill="FFFFFF"/>
        </w:rPr>
        <w:t>交通运输局</w:t>
      </w:r>
      <w:r>
        <w:rPr>
          <w:rFonts w:hint="eastAsia" w:ascii="仿宋_GB2312" w:eastAsia="仿宋_GB2312" w:cs="仿宋_GB2312"/>
          <w:spacing w:val="0"/>
          <w:sz w:val="31"/>
          <w:szCs w:val="31"/>
          <w:shd w:val="clear" w:fill="FFFFFF"/>
          <w:lang w:eastAsia="zh-CN"/>
        </w:rPr>
        <w:t>认真做好信息公开保密审查，严格执行政府信息公开保密审查制度，坚持“谁公开谁审查，谁审查谁负责”“先审查后公开”“一事一审”的原则，确保做到“涉密信息不上网，上网信息不涉密”，凡上传信息，须经分管领导、主要领导审阅方可发布，在确保信息时效性的同时也保证了信息的准确性。全年未发生涉密信息违规公开事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20" w:firstLineChars="200"/>
        <w:textAlignment w:val="auto"/>
        <w:rPr>
          <w:rFonts w:hint="default" w:ascii="仿宋_GB2312" w:hAnsi="sans-serif" w:eastAsia="仿宋_GB2312" w:cs="仿宋_GB2312"/>
          <w:i w:val="0"/>
          <w:iCs w:val="0"/>
          <w:caps w:val="0"/>
          <w:color w:val="000000"/>
          <w:spacing w:val="0"/>
          <w:sz w:val="31"/>
          <w:szCs w:val="31"/>
          <w:shd w:val="clear" w:fill="FFFFFF"/>
        </w:rPr>
      </w:pPr>
      <w:r>
        <w:rPr>
          <w:rFonts w:hint="eastAsia" w:ascii="仿宋_GB2312" w:hAnsi="sans-serif" w:eastAsia="仿宋_GB2312" w:cs="仿宋_GB2312"/>
          <w:i w:val="0"/>
          <w:iCs w:val="0"/>
          <w:caps w:val="0"/>
          <w:color w:val="000000"/>
          <w:spacing w:val="0"/>
          <w:sz w:val="31"/>
          <w:szCs w:val="31"/>
          <w:shd w:val="clear" w:fill="FFFFFF"/>
        </w:rPr>
        <w:t>（四）</w:t>
      </w:r>
      <w:r>
        <w:rPr>
          <w:rFonts w:hint="eastAsia" w:ascii="仿宋_GB2312" w:eastAsia="仿宋_GB2312" w:cs="仿宋_GB2312"/>
          <w:spacing w:val="0"/>
          <w:sz w:val="31"/>
          <w:szCs w:val="31"/>
          <w:shd w:val="clear" w:fill="FFFFFF"/>
          <w:lang w:eastAsia="zh-CN"/>
        </w:rPr>
        <w:t>政府信息公开</w:t>
      </w:r>
      <w:r>
        <w:rPr>
          <w:rFonts w:hint="eastAsia" w:ascii="仿宋_GB2312" w:eastAsia="仿宋_GB2312" w:cs="仿宋_GB2312"/>
          <w:spacing w:val="0"/>
          <w:sz w:val="31"/>
          <w:szCs w:val="31"/>
          <w:shd w:val="clear" w:fill="FFFFFF"/>
        </w:rPr>
        <w:t>平台建设</w:t>
      </w:r>
      <w:r>
        <w:rPr>
          <w:rFonts w:hint="eastAsia" w:ascii="仿宋_GB2312" w:eastAsia="仿宋_GB2312" w:cs="仿宋_GB2312"/>
          <w:spacing w:val="0"/>
          <w:sz w:val="31"/>
          <w:szCs w:val="31"/>
          <w:shd w:val="clear" w:fill="FFFFFF"/>
          <w:lang w:eastAsia="zh-CN"/>
        </w:rPr>
        <w:t>情况</w:t>
      </w:r>
      <w:r>
        <w:rPr>
          <w:rFonts w:hint="eastAsia" w:ascii="仿宋_GB2312" w:eastAsia="仿宋_GB2312" w:cs="仿宋_GB2312"/>
          <w:spacing w:val="0"/>
          <w:sz w:val="31"/>
          <w:szCs w:val="31"/>
          <w:shd w:val="clear" w:fill="FFFFFF"/>
        </w:rPr>
        <w:t>。</w:t>
      </w:r>
      <w:r>
        <w:rPr>
          <w:rFonts w:hint="eastAsia" w:ascii="仿宋_GB2312" w:eastAsia="仿宋_GB2312" w:cs="仿宋_GB2312"/>
          <w:spacing w:val="0"/>
          <w:sz w:val="31"/>
          <w:szCs w:val="31"/>
          <w:shd w:val="clear" w:fill="FFFFFF"/>
          <w:lang w:eastAsia="zh-CN"/>
        </w:rPr>
        <w:t>临清市交通运输局</w:t>
      </w:r>
      <w:r>
        <w:rPr>
          <w:rFonts w:hint="eastAsia" w:ascii="仿宋_GB2312" w:eastAsia="仿宋_GB2312" w:cs="仿宋_GB2312"/>
          <w:spacing w:val="0"/>
          <w:sz w:val="31"/>
          <w:szCs w:val="31"/>
          <w:shd w:val="clear" w:fill="FFFFFF"/>
        </w:rPr>
        <w:t>积极发挥临清市政务信息网这一公开平台的重要作用，加大对各类政务动态、通知公告、行政执法公示、等政府信息公开力度。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黑体" w:hAnsi="宋体" w:eastAsia="黑体" w:cs="黑体"/>
          <w:i w:val="0"/>
          <w:iCs w:val="0"/>
          <w:caps w:val="0"/>
          <w:color w:val="333333"/>
          <w:spacing w:val="0"/>
          <w:sz w:val="31"/>
          <w:szCs w:val="31"/>
          <w:shd w:val="clear" w:fill="FFFFFF"/>
        </w:rPr>
      </w:pPr>
      <w:r>
        <w:rPr>
          <w:rFonts w:hint="eastAsia" w:ascii="仿宋_GB2312" w:hAnsi="sans-serif" w:eastAsia="仿宋_GB2312" w:cs="仿宋_GB2312"/>
          <w:i w:val="0"/>
          <w:iCs w:val="0"/>
          <w:caps w:val="0"/>
          <w:color w:val="000000"/>
          <w:spacing w:val="0"/>
          <w:sz w:val="31"/>
          <w:szCs w:val="31"/>
          <w:shd w:val="clear" w:fill="FFFFFF"/>
        </w:rPr>
        <w:t>（五）监督保障情况。2022年，我局认真对政府信息公开工作进行专题研究部署，进一步优化了政府信息公开指南和目录，全力推进全系统政府信息公开工作。严格进行保密审查，严格区分主动公开、依申请公开、不予公开工作信息，督促相关科室、局属单位及时更新网站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20" w:firstLineChars="200"/>
        <w:textAlignment w:val="auto"/>
        <w:rPr>
          <w:rFonts w:hint="eastAsia" w:ascii="黑体" w:hAnsi="宋体" w:eastAsia="黑体" w:cs="黑体"/>
          <w:i w:val="0"/>
          <w:iCs w:val="0"/>
          <w:caps w:val="0"/>
          <w:color w:val="333333"/>
          <w:spacing w:val="0"/>
          <w:sz w:val="31"/>
          <w:szCs w:val="31"/>
          <w:shd w:val="clear" w:fill="FFFFFF"/>
        </w:rPr>
      </w:pPr>
      <w:r>
        <w:rPr>
          <w:rFonts w:hint="eastAsia" w:ascii="黑体" w:hAnsi="宋体" w:eastAsia="黑体" w:cs="黑体"/>
          <w:i w:val="0"/>
          <w:iCs w:val="0"/>
          <w:caps w:val="0"/>
          <w:color w:val="333333"/>
          <w:spacing w:val="0"/>
          <w:sz w:val="31"/>
          <w:szCs w:val="31"/>
          <w:shd w:val="clear" w:fill="FFFFFF"/>
        </w:rPr>
        <w:t>二、主动公开政府信息情况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default" w:ascii="黑体" w:hAnsi="宋体" w:eastAsia="黑体" w:cs="黑体"/>
          <w:i w:val="0"/>
          <w:iCs w:val="0"/>
          <w:caps w:val="0"/>
          <w:color w:val="333333"/>
          <w:spacing w:val="0"/>
          <w:sz w:val="31"/>
          <w:szCs w:val="31"/>
          <w:shd w:val="clear" w:fill="FFFFFF"/>
        </w:rPr>
      </w:pPr>
    </w:p>
    <w:tbl>
      <w:tblPr>
        <w:tblStyle w:val="3"/>
        <w:tblW w:w="8820" w:type="dxa"/>
        <w:jc w:val="center"/>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Layout w:type="autofit"/>
        <w:tblCellMar>
          <w:top w:w="75" w:type="dxa"/>
          <w:left w:w="150" w:type="dxa"/>
          <w:bottom w:w="75" w:type="dxa"/>
          <w:right w:w="150" w:type="dxa"/>
        </w:tblCellMar>
      </w:tblPr>
      <w:tblGrid>
        <w:gridCol w:w="2205"/>
        <w:gridCol w:w="2205"/>
        <w:gridCol w:w="2205"/>
        <w:gridCol w:w="2205"/>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75" w:type="dxa"/>
            <w:left w:w="150" w:type="dxa"/>
            <w:bottom w:w="75" w:type="dxa"/>
            <w:right w:w="150" w:type="dxa"/>
          </w:tblCellMar>
        </w:tblPrEx>
        <w:trPr>
          <w:trHeight w:val="570" w:hRule="atLeast"/>
          <w:jc w:val="center"/>
        </w:trPr>
        <w:tc>
          <w:tcPr>
            <w:tcW w:w="8820" w:type="dxa"/>
            <w:gridSpan w:val="4"/>
            <w:tcBorders>
              <w:top w:val="single" w:color="auto" w:sz="6" w:space="0"/>
              <w:left w:val="single" w:color="auto" w:sz="6" w:space="0"/>
              <w:bottom w:val="single" w:color="auto" w:sz="6" w:space="0"/>
              <w:right w:val="single" w:color="000000" w:sz="6" w:space="0"/>
            </w:tcBorders>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黑体" w:hAnsi="宋体" w:eastAsia="黑体" w:cs="黑体"/>
                <w:sz w:val="21"/>
                <w:szCs w:val="21"/>
              </w:rPr>
              <w:t>第二十条第（一）项</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570" w:hRule="atLeast"/>
          <w:jc w:val="center"/>
        </w:trPr>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信息内容</w:t>
            </w:r>
          </w:p>
        </w:tc>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本年制发件数</w:t>
            </w:r>
          </w:p>
        </w:tc>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本年废止件数</w:t>
            </w:r>
          </w:p>
        </w:tc>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现行有效件数</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570" w:hRule="atLeast"/>
          <w:jc w:val="center"/>
        </w:trPr>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规章</w:t>
            </w:r>
          </w:p>
        </w:tc>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0</w:t>
            </w:r>
          </w:p>
        </w:tc>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sz w:val="21"/>
                <w:szCs w:val="21"/>
              </w:rPr>
              <w:t>0</w:t>
            </w:r>
          </w:p>
        </w:tc>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570" w:hRule="atLeast"/>
          <w:jc w:val="center"/>
        </w:trPr>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行政规范性文件</w:t>
            </w:r>
          </w:p>
        </w:tc>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0</w:t>
            </w:r>
          </w:p>
        </w:tc>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0</w:t>
            </w:r>
          </w:p>
        </w:tc>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570" w:hRule="atLeast"/>
          <w:jc w:val="center"/>
        </w:trPr>
        <w:tc>
          <w:tcPr>
            <w:tcW w:w="8820" w:type="dxa"/>
            <w:gridSpan w:val="4"/>
            <w:tcBorders>
              <w:top w:val="single" w:color="auto" w:sz="6" w:space="0"/>
              <w:left w:val="single" w:color="auto" w:sz="6" w:space="0"/>
              <w:bottom w:val="single" w:color="auto" w:sz="6" w:space="0"/>
              <w:right w:val="single" w:color="000000" w:sz="6" w:space="0"/>
            </w:tcBorders>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黑体" w:hAnsi="宋体" w:eastAsia="黑体" w:cs="黑体"/>
                <w:sz w:val="21"/>
                <w:szCs w:val="21"/>
              </w:rPr>
              <w:t>第二十条第（五）项</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570" w:hRule="atLeast"/>
          <w:jc w:val="center"/>
        </w:trPr>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信息内容</w:t>
            </w:r>
          </w:p>
        </w:tc>
        <w:tc>
          <w:tcPr>
            <w:tcW w:w="6615" w:type="dxa"/>
            <w:gridSpan w:val="3"/>
            <w:tcBorders>
              <w:top w:val="single" w:color="auto" w:sz="6" w:space="0"/>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本年处理决定数量</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570" w:hRule="atLeast"/>
          <w:jc w:val="center"/>
        </w:trPr>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行政许可</w:t>
            </w:r>
          </w:p>
        </w:tc>
        <w:tc>
          <w:tcPr>
            <w:tcW w:w="6615" w:type="dxa"/>
            <w:gridSpan w:val="3"/>
            <w:tcBorders>
              <w:top w:val="single" w:color="auto" w:sz="6" w:space="0"/>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570" w:hRule="atLeast"/>
          <w:jc w:val="center"/>
        </w:trPr>
        <w:tc>
          <w:tcPr>
            <w:tcW w:w="8820" w:type="dxa"/>
            <w:gridSpan w:val="4"/>
            <w:tcBorders>
              <w:top w:val="single" w:color="auto" w:sz="6" w:space="0"/>
              <w:left w:val="single" w:color="auto" w:sz="6" w:space="0"/>
              <w:bottom w:val="single" w:color="auto" w:sz="6" w:space="0"/>
              <w:right w:val="single" w:color="000000" w:sz="6" w:space="0"/>
            </w:tcBorders>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黑体" w:hAnsi="宋体" w:eastAsia="黑体" w:cs="黑体"/>
                <w:sz w:val="21"/>
                <w:szCs w:val="21"/>
              </w:rPr>
              <w:t>第二十条第（六）项</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570" w:hRule="atLeast"/>
          <w:jc w:val="center"/>
        </w:trPr>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信息内容</w:t>
            </w:r>
          </w:p>
        </w:tc>
        <w:tc>
          <w:tcPr>
            <w:tcW w:w="6615" w:type="dxa"/>
            <w:gridSpan w:val="3"/>
            <w:tcBorders>
              <w:top w:val="single" w:color="auto" w:sz="6" w:space="0"/>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本年处理决定数量</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570" w:hRule="atLeast"/>
          <w:jc w:val="center"/>
        </w:trPr>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行政处罚</w:t>
            </w:r>
          </w:p>
        </w:tc>
        <w:tc>
          <w:tcPr>
            <w:tcW w:w="6615" w:type="dxa"/>
            <w:gridSpan w:val="3"/>
            <w:tcBorders>
              <w:top w:val="single" w:color="auto" w:sz="6" w:space="0"/>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235</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570" w:hRule="atLeast"/>
          <w:jc w:val="center"/>
        </w:trPr>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行政强制</w:t>
            </w:r>
          </w:p>
        </w:tc>
        <w:tc>
          <w:tcPr>
            <w:tcW w:w="6615" w:type="dxa"/>
            <w:gridSpan w:val="3"/>
            <w:tcBorders>
              <w:top w:val="single" w:color="auto" w:sz="6" w:space="0"/>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570" w:hRule="atLeast"/>
          <w:jc w:val="center"/>
        </w:trPr>
        <w:tc>
          <w:tcPr>
            <w:tcW w:w="8820" w:type="dxa"/>
            <w:gridSpan w:val="4"/>
            <w:tcBorders>
              <w:top w:val="single" w:color="auto" w:sz="6" w:space="0"/>
              <w:left w:val="single" w:color="auto" w:sz="6" w:space="0"/>
              <w:bottom w:val="single" w:color="auto" w:sz="6" w:space="0"/>
              <w:right w:val="single" w:color="000000" w:sz="6" w:space="0"/>
            </w:tcBorders>
            <w:shd w:val="clear" w:color="auto" w:fill="C6D9F1"/>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黑体" w:hAnsi="宋体" w:eastAsia="黑体" w:cs="黑体"/>
                <w:sz w:val="21"/>
                <w:szCs w:val="21"/>
              </w:rPr>
              <w:t>第二十条第（八）项</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570" w:hRule="atLeast"/>
          <w:jc w:val="center"/>
        </w:trPr>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信息内容</w:t>
            </w:r>
          </w:p>
        </w:tc>
        <w:tc>
          <w:tcPr>
            <w:tcW w:w="6615" w:type="dxa"/>
            <w:gridSpan w:val="3"/>
            <w:tcBorders>
              <w:top w:val="single" w:color="auto" w:sz="6" w:space="0"/>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本年收费金额（单位：万元）</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570" w:hRule="atLeast"/>
          <w:jc w:val="center"/>
        </w:trPr>
        <w:tc>
          <w:tcPr>
            <w:tcW w:w="220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行政事业性收费</w:t>
            </w:r>
          </w:p>
        </w:tc>
        <w:tc>
          <w:tcPr>
            <w:tcW w:w="6615" w:type="dxa"/>
            <w:gridSpan w:val="3"/>
            <w:tcBorders>
              <w:top w:val="single" w:color="auto" w:sz="6" w:space="0"/>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eastAsia="仿宋_GB2312" w:cs="仿宋_GB2312"/>
                <w:sz w:val="21"/>
                <w:szCs w:val="21"/>
              </w:rPr>
              <w:t>0</w:t>
            </w:r>
          </w:p>
        </w:tc>
      </w:tr>
    </w:tbl>
    <w:p>
      <w:pPr>
        <w:pStyle w:val="2"/>
        <w:keepNext w:val="0"/>
        <w:keepLines w:val="0"/>
        <w:widowControl/>
        <w:suppressLineNumbers w:val="0"/>
        <w:spacing w:line="315" w:lineRule="atLeast"/>
        <w:ind w:left="0" w:firstLine="0"/>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 </w:t>
      </w:r>
      <w:r>
        <w:rPr>
          <w:rStyle w:val="5"/>
          <w:rFonts w:hint="eastAsia" w:ascii="黑体" w:hAnsi="宋体" w:eastAsia="黑体" w:cs="黑体"/>
          <w:i w:val="0"/>
          <w:iCs w:val="0"/>
          <w:caps w:val="0"/>
          <w:color w:val="333333"/>
          <w:spacing w:val="0"/>
          <w:sz w:val="31"/>
          <w:szCs w:val="31"/>
          <w:shd w:val="clear" w:fill="FFFFFF"/>
        </w:rPr>
        <w:t>三、收到和处理政府信息公开申请情况</w:t>
      </w:r>
    </w:p>
    <w:tbl>
      <w:tblPr>
        <w:tblStyle w:val="3"/>
        <w:tblW w:w="9075" w:type="dxa"/>
        <w:jc w:val="center"/>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Layout w:type="autofit"/>
        <w:tblCellMar>
          <w:top w:w="75" w:type="dxa"/>
          <w:left w:w="150" w:type="dxa"/>
          <w:bottom w:w="75" w:type="dxa"/>
          <w:right w:w="150" w:type="dxa"/>
        </w:tblCellMar>
      </w:tblPr>
      <w:tblGrid>
        <w:gridCol w:w="630"/>
        <w:gridCol w:w="1563"/>
        <w:gridCol w:w="2691"/>
        <w:gridCol w:w="718"/>
        <w:gridCol w:w="492"/>
        <w:gridCol w:w="492"/>
        <w:gridCol w:w="630"/>
        <w:gridCol w:w="612"/>
        <w:gridCol w:w="494"/>
        <w:gridCol w:w="753"/>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75" w:type="dxa"/>
            <w:left w:w="150" w:type="dxa"/>
            <w:bottom w:w="75" w:type="dxa"/>
            <w:right w:w="150" w:type="dxa"/>
          </w:tblCellMar>
        </w:tblPrEx>
        <w:trPr>
          <w:trHeight w:val="420" w:hRule="atLeast"/>
          <w:jc w:val="center"/>
        </w:trPr>
        <w:tc>
          <w:tcPr>
            <w:tcW w:w="4785"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pPr>
            <w:r>
              <w:rPr>
                <w:rFonts w:hint="eastAsia" w:ascii="楷体_GB2312" w:hAnsi="黑体" w:eastAsia="楷体_GB2312"/>
                <w:kern w:val="0"/>
                <w:szCs w:val="21"/>
              </w:rPr>
              <w:t>等于第三项加第四项之和）</w:t>
            </w:r>
          </w:p>
        </w:tc>
        <w:tc>
          <w:tcPr>
            <w:tcW w:w="4290"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20" w:lineRule="exact"/>
              <w:jc w:val="center"/>
            </w:pPr>
            <w:r>
              <w:rPr>
                <w:rFonts w:hint="eastAsia" w:ascii="黑体" w:hAnsi="黑体" w:eastAsia="黑体"/>
                <w:kern w:val="0"/>
                <w:szCs w:val="21"/>
              </w:rPr>
              <w:t>申请人情况</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420" w:hRule="atLeast"/>
          <w:jc w:val="center"/>
        </w:trPr>
        <w:tc>
          <w:tcPr>
            <w:tcW w:w="4785"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hint="eastAsia" w:ascii="宋体"/>
                <w:sz w:val="24"/>
                <w:szCs w:val="24"/>
              </w:rPr>
            </w:pPr>
          </w:p>
        </w:tc>
        <w:tc>
          <w:tcPr>
            <w:tcW w:w="73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pPr>
            <w:r>
              <w:rPr>
                <w:rFonts w:hint="eastAsia" w:ascii="黑体" w:hAnsi="黑体" w:eastAsia="黑体"/>
                <w:kern w:val="0"/>
                <w:szCs w:val="21"/>
              </w:rPr>
              <w:t>自然人</w:t>
            </w:r>
          </w:p>
        </w:tc>
        <w:tc>
          <w:tcPr>
            <w:tcW w:w="2784"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20" w:lineRule="exact"/>
              <w:jc w:val="center"/>
            </w:pPr>
            <w:r>
              <w:rPr>
                <w:rFonts w:hint="eastAsia" w:ascii="黑体" w:hAnsi="黑体" w:eastAsia="黑体"/>
                <w:kern w:val="0"/>
                <w:szCs w:val="21"/>
              </w:rPr>
              <w:t>法人或其他组织</w:t>
            </w:r>
          </w:p>
        </w:tc>
        <w:tc>
          <w:tcPr>
            <w:tcW w:w="75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pPr>
            <w:r>
              <w:rPr>
                <w:rFonts w:hint="eastAsia" w:ascii="黑体" w:hAnsi="黑体" w:eastAsia="黑体"/>
                <w:kern w:val="0"/>
                <w:szCs w:val="21"/>
              </w:rPr>
              <w:t>总计</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1125" w:hRule="atLeast"/>
          <w:jc w:val="center"/>
        </w:trPr>
        <w:tc>
          <w:tcPr>
            <w:tcW w:w="4785"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hint="eastAsia" w:ascii="宋体"/>
                <w:sz w:val="24"/>
                <w:szCs w:val="24"/>
              </w:rPr>
            </w:pPr>
          </w:p>
        </w:tc>
        <w:tc>
          <w:tcPr>
            <w:tcW w:w="73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hint="eastAsia" w:ascii="宋体"/>
                <w:sz w:val="24"/>
                <w:szCs w:val="24"/>
              </w:rPr>
            </w:pP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20" w:lineRule="exact"/>
              <w:ind w:left="-106" w:leftChars="-51" w:right="-107" w:rightChars="-51" w:hanging="1" w:firstLineChars="0"/>
              <w:jc w:val="center"/>
            </w:pPr>
            <w:r>
              <w:rPr>
                <w:rFonts w:hint="eastAsia" w:ascii="黑体" w:hAnsi="黑体" w:eastAsia="黑体"/>
                <w:kern w:val="0"/>
                <w:szCs w:val="21"/>
              </w:rPr>
              <w:t>商业企业</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20" w:lineRule="exact"/>
              <w:ind w:left="-107" w:leftChars="-51" w:right="-107" w:rightChars="-51"/>
              <w:jc w:val="center"/>
            </w:pPr>
            <w:r>
              <w:rPr>
                <w:rFonts w:hint="eastAsia" w:ascii="黑体" w:hAnsi="黑体" w:eastAsia="黑体"/>
                <w:kern w:val="0"/>
                <w:szCs w:val="21"/>
              </w:rPr>
              <w:t>科研机构</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20" w:lineRule="exact"/>
              <w:ind w:left="-107" w:leftChars="-51" w:right="-107" w:rightChars="-51"/>
              <w:jc w:val="center"/>
            </w:pPr>
            <w:r>
              <w:rPr>
                <w:rFonts w:hint="eastAsia" w:ascii="黑体" w:hAnsi="黑体" w:eastAsia="黑体"/>
                <w:kern w:val="0"/>
                <w:szCs w:val="21"/>
              </w:rPr>
              <w:t>社会公益组织</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20" w:lineRule="exact"/>
              <w:ind w:left="-106" w:leftChars="-51" w:right="-107" w:rightChars="-51" w:hanging="1" w:firstLineChars="0"/>
              <w:jc w:val="center"/>
            </w:pPr>
            <w:r>
              <w:rPr>
                <w:rFonts w:hint="eastAsia" w:ascii="黑体" w:hAnsi="黑体" w:eastAsia="黑体"/>
                <w:kern w:val="0"/>
                <w:szCs w:val="21"/>
              </w:rPr>
              <w:t>法律服务机构</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60" w:lineRule="exact"/>
              <w:ind w:left="-63" w:leftChars="-30" w:right="-134" w:rightChars="-64"/>
              <w:jc w:val="center"/>
            </w:pPr>
            <w:r>
              <w:rPr>
                <w:rFonts w:hint="eastAsia" w:ascii="黑体" w:hAnsi="黑体" w:eastAsia="黑体"/>
                <w:kern w:val="0"/>
                <w:szCs w:val="21"/>
              </w:rPr>
              <w:t>其他</w:t>
            </w:r>
          </w:p>
        </w:tc>
        <w:tc>
          <w:tcPr>
            <w:tcW w:w="75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hint="eastAsia" w:ascii="宋体"/>
                <w:sz w:val="24"/>
                <w:szCs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jc w:val="center"/>
        </w:trPr>
        <w:tc>
          <w:tcPr>
            <w:tcW w:w="4785"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pPr>
            <w:r>
              <w:rPr>
                <w:rFonts w:hint="eastAsia" w:ascii="黑体" w:hAnsi="黑体" w:eastAsia="黑体"/>
                <w:kern w:val="0"/>
                <w:szCs w:val="21"/>
              </w:rPr>
              <w:t>一、本年新收政府信息公开申请数量</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rPr>
                <w:rFonts w:hint="eastAsia" w:eastAsiaTheme="minorEastAsia"/>
                <w:lang w:val="en-US" w:eastAsia="zh-CN"/>
              </w:rP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jc w:val="center"/>
        </w:trPr>
        <w:tc>
          <w:tcPr>
            <w:tcW w:w="4785"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pPr>
            <w:r>
              <w:rPr>
                <w:rFonts w:hint="eastAsia" w:ascii="黑体" w:hAnsi="黑体" w:eastAsia="黑体"/>
                <w:kern w:val="0"/>
                <w:szCs w:val="21"/>
              </w:rPr>
              <w:t>二、上年结转政府信息公开申请数量</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jc w:val="center"/>
        </w:trPr>
        <w:tc>
          <w:tcPr>
            <w:tcW w:w="392"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pPr>
            <w:r>
              <w:rPr>
                <w:rFonts w:hint="eastAsia" w:ascii="黑体" w:hAnsi="黑体" w:eastAsia="黑体"/>
                <w:kern w:val="0"/>
                <w:szCs w:val="21"/>
              </w:rPr>
              <w:t>三、本年度办理结果</w:t>
            </w:r>
          </w:p>
        </w:tc>
        <w:tc>
          <w:tcPr>
            <w:tcW w:w="4409"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pPr>
            <w:r>
              <w:rPr>
                <w:rFonts w:hint="eastAsia" w:ascii="黑体" w:hAnsi="黑体" w:eastAsia="黑体"/>
                <w:kern w:val="0"/>
                <w:szCs w:val="21"/>
              </w:rPr>
              <w:t>（一）予以公开</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jc w:val="center"/>
        </w:trPr>
        <w:tc>
          <w:tcPr>
            <w:tcW w:w="39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409"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pPr>
            <w:r>
              <w:rPr>
                <w:rFonts w:hint="eastAsia" w:ascii="黑体" w:hAnsi="黑体" w:eastAsia="黑体"/>
                <w:kern w:val="0"/>
                <w:szCs w:val="21"/>
              </w:rPr>
              <w:t>（二）部分公开（区分处理的，只计这一情形，不计其他情形）</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450" w:hRule="atLeast"/>
          <w:jc w:val="center"/>
        </w:trPr>
        <w:tc>
          <w:tcPr>
            <w:tcW w:w="39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603"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00" w:lineRule="exact"/>
              <w:ind w:left="-107" w:leftChars="-51"/>
            </w:pPr>
            <w:r>
              <w:rPr>
                <w:rFonts w:hint="eastAsia" w:ascii="黑体" w:hAnsi="黑体" w:eastAsia="黑体"/>
                <w:kern w:val="0"/>
                <w:szCs w:val="21"/>
              </w:rPr>
              <w:t>（三）不予公开</w:t>
            </w:r>
          </w:p>
        </w:tc>
        <w:tc>
          <w:tcPr>
            <w:tcW w:w="2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00" w:lineRule="exact"/>
            </w:pPr>
            <w:r>
              <w:rPr>
                <w:rFonts w:hint="eastAsia" w:ascii="仿宋_GB2312" w:hAnsi="黑体" w:eastAsia="仿宋_GB2312"/>
                <w:kern w:val="0"/>
                <w:szCs w:val="21"/>
              </w:rPr>
              <w:t>1.属于国家秘密</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450" w:hRule="atLeast"/>
          <w:jc w:val="center"/>
        </w:trPr>
        <w:tc>
          <w:tcPr>
            <w:tcW w:w="39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603"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200" w:lineRule="exact"/>
              <w:rPr>
                <w:rFonts w:hint="eastAsia" w:ascii="宋体"/>
                <w:sz w:val="24"/>
                <w:szCs w:val="24"/>
              </w:rPr>
            </w:pPr>
          </w:p>
        </w:tc>
        <w:tc>
          <w:tcPr>
            <w:tcW w:w="2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00" w:lineRule="exact"/>
            </w:pPr>
            <w:r>
              <w:rPr>
                <w:rFonts w:hint="eastAsia" w:ascii="仿宋_GB2312" w:hAnsi="黑体" w:eastAsia="仿宋_GB2312"/>
                <w:kern w:val="0"/>
                <w:szCs w:val="21"/>
              </w:rPr>
              <w:t>2.其他法律行政法规禁止公开</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450" w:hRule="atLeast"/>
          <w:jc w:val="center"/>
        </w:trPr>
        <w:tc>
          <w:tcPr>
            <w:tcW w:w="39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603"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200" w:lineRule="exact"/>
              <w:rPr>
                <w:rFonts w:hint="eastAsia" w:ascii="宋体"/>
                <w:sz w:val="24"/>
                <w:szCs w:val="24"/>
              </w:rPr>
            </w:pPr>
          </w:p>
        </w:tc>
        <w:tc>
          <w:tcPr>
            <w:tcW w:w="2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00" w:lineRule="exact"/>
            </w:pPr>
            <w:r>
              <w:rPr>
                <w:rFonts w:hint="eastAsia" w:ascii="仿宋_GB2312" w:hAnsi="黑体" w:eastAsia="仿宋_GB2312"/>
                <w:kern w:val="0"/>
                <w:szCs w:val="21"/>
              </w:rPr>
              <w:t>3.危及“三安全一稳定”</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450" w:hRule="atLeast"/>
          <w:jc w:val="center"/>
        </w:trPr>
        <w:tc>
          <w:tcPr>
            <w:tcW w:w="39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603"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200" w:lineRule="exact"/>
              <w:rPr>
                <w:rFonts w:hint="eastAsia" w:ascii="宋体"/>
                <w:sz w:val="24"/>
                <w:szCs w:val="24"/>
              </w:rPr>
            </w:pPr>
          </w:p>
        </w:tc>
        <w:tc>
          <w:tcPr>
            <w:tcW w:w="2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00" w:lineRule="exact"/>
            </w:pPr>
            <w:r>
              <w:rPr>
                <w:rFonts w:hint="eastAsia" w:ascii="仿宋_GB2312" w:hAnsi="黑体" w:eastAsia="仿宋_GB2312"/>
                <w:kern w:val="0"/>
                <w:szCs w:val="21"/>
              </w:rPr>
              <w:t>4.保护第三方合法权益</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450" w:hRule="atLeast"/>
          <w:jc w:val="center"/>
        </w:trPr>
        <w:tc>
          <w:tcPr>
            <w:tcW w:w="39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603"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200" w:lineRule="exact"/>
              <w:rPr>
                <w:rFonts w:hint="eastAsia" w:ascii="宋体"/>
                <w:sz w:val="24"/>
                <w:szCs w:val="24"/>
              </w:rPr>
            </w:pPr>
          </w:p>
        </w:tc>
        <w:tc>
          <w:tcPr>
            <w:tcW w:w="2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00" w:lineRule="exact"/>
            </w:pPr>
            <w:r>
              <w:rPr>
                <w:rFonts w:hint="eastAsia" w:ascii="仿宋_GB2312" w:hAnsi="黑体" w:eastAsia="仿宋_GB2312"/>
                <w:kern w:val="0"/>
                <w:szCs w:val="21"/>
              </w:rPr>
              <w:t>5.属于三类内部事务信息</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450" w:hRule="atLeast"/>
          <w:jc w:val="center"/>
        </w:trPr>
        <w:tc>
          <w:tcPr>
            <w:tcW w:w="39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603"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200" w:lineRule="exact"/>
              <w:rPr>
                <w:rFonts w:hint="eastAsia" w:ascii="宋体"/>
                <w:sz w:val="24"/>
                <w:szCs w:val="24"/>
              </w:rPr>
            </w:pPr>
          </w:p>
        </w:tc>
        <w:tc>
          <w:tcPr>
            <w:tcW w:w="2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00" w:lineRule="exact"/>
            </w:pPr>
            <w:r>
              <w:rPr>
                <w:rFonts w:hint="eastAsia" w:ascii="仿宋_GB2312" w:hAnsi="黑体" w:eastAsia="仿宋_GB2312"/>
                <w:kern w:val="0"/>
                <w:szCs w:val="21"/>
              </w:rPr>
              <w:t>6.属于四类过程性信息</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450" w:hRule="atLeast"/>
          <w:jc w:val="center"/>
        </w:trPr>
        <w:tc>
          <w:tcPr>
            <w:tcW w:w="39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603"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200" w:lineRule="exact"/>
              <w:rPr>
                <w:rFonts w:hint="eastAsia" w:ascii="宋体"/>
                <w:sz w:val="24"/>
                <w:szCs w:val="24"/>
              </w:rPr>
            </w:pPr>
          </w:p>
        </w:tc>
        <w:tc>
          <w:tcPr>
            <w:tcW w:w="2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00" w:lineRule="exact"/>
            </w:pPr>
            <w:r>
              <w:rPr>
                <w:rFonts w:hint="eastAsia" w:ascii="仿宋_GB2312" w:hAnsi="黑体" w:eastAsia="仿宋_GB2312"/>
                <w:kern w:val="0"/>
                <w:szCs w:val="21"/>
              </w:rPr>
              <w:t>7.属于行政执法案卷</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450" w:hRule="atLeast"/>
          <w:jc w:val="center"/>
        </w:trPr>
        <w:tc>
          <w:tcPr>
            <w:tcW w:w="39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603"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200" w:lineRule="exact"/>
              <w:rPr>
                <w:rFonts w:hint="eastAsia" w:ascii="宋体"/>
                <w:sz w:val="24"/>
                <w:szCs w:val="24"/>
              </w:rPr>
            </w:pPr>
          </w:p>
        </w:tc>
        <w:tc>
          <w:tcPr>
            <w:tcW w:w="2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00" w:lineRule="exact"/>
            </w:pPr>
            <w:r>
              <w:rPr>
                <w:rFonts w:hint="eastAsia" w:ascii="仿宋_GB2312" w:hAnsi="黑体" w:eastAsia="仿宋_GB2312"/>
                <w:kern w:val="0"/>
                <w:szCs w:val="21"/>
              </w:rPr>
              <w:t>8.属于行政查询事项</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450" w:hRule="atLeast"/>
          <w:jc w:val="center"/>
        </w:trPr>
        <w:tc>
          <w:tcPr>
            <w:tcW w:w="39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603"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00" w:lineRule="exact"/>
              <w:ind w:left="-107" w:leftChars="-51"/>
            </w:pPr>
            <w:r>
              <w:rPr>
                <w:rFonts w:hint="eastAsia" w:ascii="黑体" w:hAnsi="黑体" w:eastAsia="黑体"/>
                <w:kern w:val="0"/>
                <w:szCs w:val="21"/>
              </w:rPr>
              <w:t>（四）无法提供</w:t>
            </w:r>
          </w:p>
        </w:tc>
        <w:tc>
          <w:tcPr>
            <w:tcW w:w="2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00" w:lineRule="exact"/>
            </w:pPr>
            <w:r>
              <w:rPr>
                <w:rFonts w:hint="eastAsia" w:ascii="仿宋_GB2312" w:hAnsi="黑体" w:eastAsia="仿宋_GB2312"/>
                <w:kern w:val="0"/>
                <w:szCs w:val="21"/>
              </w:rPr>
              <w:t>1.本机关不掌握相关政府信息</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450" w:hRule="atLeast"/>
          <w:jc w:val="center"/>
        </w:trPr>
        <w:tc>
          <w:tcPr>
            <w:tcW w:w="39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603"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200" w:lineRule="exact"/>
              <w:ind w:left="-107" w:leftChars="-51"/>
              <w:rPr>
                <w:rFonts w:hint="eastAsia" w:ascii="宋体"/>
                <w:sz w:val="24"/>
                <w:szCs w:val="24"/>
              </w:rPr>
            </w:pPr>
          </w:p>
        </w:tc>
        <w:tc>
          <w:tcPr>
            <w:tcW w:w="2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00" w:lineRule="exact"/>
            </w:pPr>
            <w:r>
              <w:rPr>
                <w:rFonts w:hint="eastAsia" w:ascii="仿宋_GB2312" w:hAnsi="黑体" w:eastAsia="仿宋_GB2312"/>
                <w:kern w:val="0"/>
                <w:szCs w:val="21"/>
              </w:rPr>
              <w:t>2.没有现成信息需要另行制作</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450" w:hRule="atLeast"/>
          <w:jc w:val="center"/>
        </w:trPr>
        <w:tc>
          <w:tcPr>
            <w:tcW w:w="39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603"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200" w:lineRule="exact"/>
              <w:ind w:left="-107" w:leftChars="-51"/>
              <w:rPr>
                <w:rFonts w:hint="eastAsia" w:ascii="宋体"/>
                <w:sz w:val="24"/>
                <w:szCs w:val="24"/>
              </w:rPr>
            </w:pPr>
          </w:p>
        </w:tc>
        <w:tc>
          <w:tcPr>
            <w:tcW w:w="2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00" w:lineRule="exact"/>
            </w:pPr>
            <w:r>
              <w:rPr>
                <w:rFonts w:hint="eastAsia" w:ascii="仿宋_GB2312" w:hAnsi="黑体" w:eastAsia="仿宋_GB2312"/>
                <w:kern w:val="0"/>
                <w:szCs w:val="21"/>
              </w:rPr>
              <w:t>3.补正后申请内容仍不明确</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450" w:hRule="atLeast"/>
          <w:jc w:val="center"/>
        </w:trPr>
        <w:tc>
          <w:tcPr>
            <w:tcW w:w="39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603"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00" w:lineRule="exact"/>
              <w:ind w:left="-107" w:leftChars="-51"/>
            </w:pPr>
            <w:r>
              <w:rPr>
                <w:rFonts w:hint="eastAsia" w:ascii="黑体" w:hAnsi="黑体" w:eastAsia="黑体"/>
                <w:kern w:val="0"/>
                <w:szCs w:val="21"/>
              </w:rPr>
              <w:t>（五）不予处理</w:t>
            </w:r>
          </w:p>
        </w:tc>
        <w:tc>
          <w:tcPr>
            <w:tcW w:w="2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00" w:lineRule="exact"/>
            </w:pPr>
            <w:r>
              <w:rPr>
                <w:rFonts w:hint="eastAsia" w:ascii="仿宋_GB2312" w:hAnsi="黑体" w:eastAsia="仿宋_GB2312"/>
                <w:kern w:val="0"/>
                <w:szCs w:val="21"/>
              </w:rPr>
              <w:t>1.信访举报投诉类申请</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450" w:hRule="atLeast"/>
          <w:jc w:val="center"/>
        </w:trPr>
        <w:tc>
          <w:tcPr>
            <w:tcW w:w="39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603"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200" w:lineRule="exact"/>
              <w:rPr>
                <w:rFonts w:hint="eastAsia" w:ascii="宋体"/>
                <w:sz w:val="24"/>
                <w:szCs w:val="24"/>
              </w:rPr>
            </w:pPr>
          </w:p>
        </w:tc>
        <w:tc>
          <w:tcPr>
            <w:tcW w:w="2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00" w:lineRule="exact"/>
            </w:pPr>
            <w:r>
              <w:rPr>
                <w:rFonts w:hint="eastAsia" w:ascii="仿宋_GB2312" w:hAnsi="黑体" w:eastAsia="仿宋_GB2312"/>
                <w:kern w:val="0"/>
                <w:szCs w:val="21"/>
              </w:rPr>
              <w:t>2.重复申请</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450" w:hRule="atLeast"/>
          <w:jc w:val="center"/>
        </w:trPr>
        <w:tc>
          <w:tcPr>
            <w:tcW w:w="39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603"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200" w:lineRule="exact"/>
              <w:rPr>
                <w:rFonts w:hint="eastAsia" w:ascii="宋体"/>
                <w:sz w:val="24"/>
                <w:szCs w:val="24"/>
              </w:rPr>
            </w:pPr>
          </w:p>
        </w:tc>
        <w:tc>
          <w:tcPr>
            <w:tcW w:w="2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00" w:lineRule="exact"/>
            </w:pPr>
            <w:r>
              <w:rPr>
                <w:rFonts w:hint="eastAsia" w:ascii="仿宋_GB2312" w:hAnsi="黑体" w:eastAsia="仿宋_GB2312"/>
                <w:kern w:val="0"/>
                <w:szCs w:val="21"/>
              </w:rPr>
              <w:t>3.要求提供公开出版物</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390" w:hRule="atLeast"/>
          <w:jc w:val="center"/>
        </w:trPr>
        <w:tc>
          <w:tcPr>
            <w:tcW w:w="39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603"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200" w:lineRule="exact"/>
              <w:rPr>
                <w:rFonts w:hint="eastAsia" w:ascii="宋体"/>
                <w:sz w:val="24"/>
                <w:szCs w:val="24"/>
              </w:rPr>
            </w:pPr>
          </w:p>
        </w:tc>
        <w:tc>
          <w:tcPr>
            <w:tcW w:w="2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200" w:lineRule="exact"/>
            </w:pPr>
            <w:r>
              <w:rPr>
                <w:rFonts w:hint="eastAsia" w:ascii="仿宋_GB2312" w:hAnsi="黑体" w:eastAsia="仿宋_GB2312"/>
                <w:kern w:val="0"/>
                <w:szCs w:val="21"/>
              </w:rPr>
              <w:t>4.无正当理由大量反复申请</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jc w:val="center"/>
        </w:trPr>
        <w:tc>
          <w:tcPr>
            <w:tcW w:w="39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603"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200" w:lineRule="exact"/>
              <w:rPr>
                <w:rFonts w:hint="eastAsia" w:ascii="宋体"/>
                <w:sz w:val="24"/>
                <w:szCs w:val="24"/>
              </w:rPr>
            </w:pPr>
          </w:p>
        </w:tc>
        <w:tc>
          <w:tcPr>
            <w:tcW w:w="2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10" w:firstLineChars="100"/>
            </w:pPr>
            <w:r>
              <w:rPr>
                <w:rFonts w:hint="eastAsia" w:ascii="仿宋_GB2312" w:hAnsi="黑体" w:eastAsia="仿宋_GB2312"/>
                <w:kern w:val="0"/>
                <w:szCs w:val="21"/>
              </w:rPr>
              <w:t>出具已获取信息</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390" w:hRule="atLeast"/>
          <w:jc w:val="center"/>
        </w:trPr>
        <w:tc>
          <w:tcPr>
            <w:tcW w:w="39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603"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00" w:lineRule="exact"/>
            </w:pPr>
            <w:r>
              <w:rPr>
                <w:rFonts w:hint="eastAsia" w:ascii="黑体" w:hAnsi="黑体" w:eastAsia="黑体"/>
                <w:kern w:val="0"/>
                <w:szCs w:val="21"/>
              </w:rPr>
              <w:t>（六）其他处理</w:t>
            </w:r>
          </w:p>
        </w:tc>
        <w:tc>
          <w:tcPr>
            <w:tcW w:w="2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00" w:lineRule="exact"/>
            </w:pPr>
            <w:r>
              <w:rPr>
                <w:rFonts w:hint="eastAsia" w:ascii="仿宋_GB2312" w:hAnsi="楷体" w:eastAsia="仿宋_GB2312"/>
              </w:rPr>
              <w:t>1.申请人无正当理由逾期不补正、行政机关不再处理其政府信息公开申请</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390" w:hRule="atLeast"/>
          <w:jc w:val="center"/>
        </w:trPr>
        <w:tc>
          <w:tcPr>
            <w:tcW w:w="39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603"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00" w:lineRule="exact"/>
            </w:pPr>
          </w:p>
        </w:tc>
        <w:tc>
          <w:tcPr>
            <w:tcW w:w="2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00" w:lineRule="exact"/>
            </w:pPr>
            <w:r>
              <w:rPr>
                <w:rFonts w:hint="eastAsia" w:ascii="仿宋_GB2312" w:hAnsi="楷体" w:eastAsia="仿宋_GB2312"/>
              </w:rPr>
              <w:t>2.申请人逾期未按收费通知要求缴纳费用、行政机关不再处理其政府信息公开申请</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jc w:val="center"/>
        </w:trPr>
        <w:tc>
          <w:tcPr>
            <w:tcW w:w="39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bookmarkStart w:id="0" w:name="_GoBack" w:colFirst="3" w:colLast="9"/>
          </w:p>
        </w:tc>
        <w:tc>
          <w:tcPr>
            <w:tcW w:w="1603"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00" w:lineRule="exact"/>
            </w:pPr>
          </w:p>
        </w:tc>
        <w:tc>
          <w:tcPr>
            <w:tcW w:w="2806"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00" w:lineRule="exact"/>
            </w:pPr>
            <w:r>
              <w:rPr>
                <w:rFonts w:hint="eastAsia" w:ascii="仿宋_GB2312" w:hAnsi="楷体" w:eastAsia="仿宋_GB2312"/>
              </w:rPr>
              <w:t>3.其他</w:t>
            </w:r>
          </w:p>
        </w:tc>
        <w:tc>
          <w:tcPr>
            <w:tcW w:w="7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line="200" w:lineRule="exact"/>
              <w:jc w:val="center"/>
            </w:pPr>
            <w:r>
              <w:rPr>
                <w:rFonts w:hint="eastAsia"/>
                <w:lang w:val="en-US" w:eastAsia="zh-CN"/>
              </w:rPr>
              <w:t>0</w:t>
            </w:r>
          </w:p>
        </w:tc>
        <w:tc>
          <w:tcPr>
            <w:tcW w:w="50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4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6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50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c>
          <w:tcPr>
            <w:tcW w:w="7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after="180"/>
              <w:jc w:val="center"/>
            </w:pPr>
            <w:r>
              <w:rPr>
                <w:rFonts w:hint="eastAsia"/>
                <w:lang w:val="en-US" w:eastAsia="zh-CN"/>
              </w:rPr>
              <w:t>0</w:t>
            </w:r>
          </w:p>
        </w:tc>
      </w:tr>
      <w:bookmarkEnd w:id="0"/>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right="0"/>
        <w:jc w:val="both"/>
        <w:rPr>
          <w:rFonts w:hint="eastAsia" w:ascii="黑体" w:hAnsi="宋体" w:eastAsia="黑体" w:cs="黑体"/>
          <w:i w:val="0"/>
          <w:iCs w:val="0"/>
          <w:caps w:val="0"/>
          <w:color w:val="333333"/>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right="0" w:firstLine="620" w:firstLineChars="200"/>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333333"/>
          <w:spacing w:val="0"/>
          <w:sz w:val="31"/>
          <w:szCs w:val="31"/>
          <w:shd w:val="clear" w:fill="FFFFFF"/>
        </w:rPr>
        <w:t> 四、政府信息公开行政复议、行政诉讼情况</w:t>
      </w:r>
    </w:p>
    <w:tbl>
      <w:tblPr>
        <w:tblStyle w:val="3"/>
        <w:tblW w:w="9075" w:type="dxa"/>
        <w:jc w:val="center"/>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Layout w:type="autofit"/>
        <w:tblCellMar>
          <w:top w:w="75" w:type="dxa"/>
          <w:left w:w="150" w:type="dxa"/>
          <w:bottom w:w="75" w:type="dxa"/>
          <w:right w:w="15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auto"/>
          <w:tblCellMar>
            <w:top w:w="75" w:type="dxa"/>
            <w:left w:w="150" w:type="dxa"/>
            <w:bottom w:w="75" w:type="dxa"/>
            <w:right w:w="150" w:type="dxa"/>
          </w:tblCellMar>
        </w:tblPrEx>
        <w:trPr>
          <w:trHeight w:val="495" w:hRule="atLeast"/>
          <w:jc w:val="center"/>
        </w:trPr>
        <w:tc>
          <w:tcPr>
            <w:tcW w:w="3075"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pPr>
            <w:r>
              <w:rPr>
                <w:rFonts w:hint="eastAsia" w:ascii="宋体" w:hAnsi="宋体" w:eastAsia="宋体" w:cs="宋体"/>
                <w:sz w:val="19"/>
                <w:szCs w:val="19"/>
              </w:rPr>
              <w:t>行政复议</w:t>
            </w:r>
          </w:p>
        </w:tc>
        <w:tc>
          <w:tcPr>
            <w:tcW w:w="6000" w:type="dxa"/>
            <w:gridSpan w:val="10"/>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pPr>
            <w:r>
              <w:rPr>
                <w:rFonts w:hint="eastAsia" w:ascii="宋体" w:hAnsi="宋体" w:eastAsia="宋体" w:cs="宋体"/>
                <w:sz w:val="19"/>
                <w:szCs w:val="19"/>
              </w:rPr>
              <w:t>行政诉讼</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540" w:hRule="atLeast"/>
          <w:jc w:val="center"/>
        </w:trPr>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150" w:right="-165"/>
              <w:jc w:val="center"/>
            </w:pPr>
            <w:r>
              <w:rPr>
                <w:rFonts w:hint="eastAsia" w:ascii="宋体" w:hAnsi="宋体" w:eastAsia="宋体" w:cs="宋体"/>
                <w:sz w:val="19"/>
                <w:szCs w:val="19"/>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150" w:right="-165"/>
              <w:jc w:val="center"/>
            </w:pPr>
            <w:r>
              <w:rPr>
                <w:rFonts w:hint="eastAsia" w:ascii="宋体" w:hAnsi="宋体" w:eastAsia="宋体" w:cs="宋体"/>
                <w:sz w:val="19"/>
                <w:szCs w:val="19"/>
              </w:rPr>
              <w:t>维持</w:t>
            </w:r>
          </w:p>
        </w:tc>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45" w:right="-135"/>
              <w:jc w:val="center"/>
            </w:pPr>
            <w:r>
              <w:rPr>
                <w:rFonts w:hint="eastAsia" w:ascii="宋体" w:hAnsi="宋体" w:eastAsia="宋体" w:cs="宋体"/>
                <w:sz w:val="19"/>
                <w:szCs w:val="19"/>
              </w:rPr>
              <w:t>结果纠正</w:t>
            </w:r>
          </w:p>
        </w:tc>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75" w:right="-90"/>
              <w:jc w:val="center"/>
            </w:pPr>
            <w:r>
              <w:rPr>
                <w:rFonts w:hint="eastAsia" w:ascii="宋体" w:hAnsi="宋体" w:eastAsia="宋体" w:cs="宋体"/>
                <w:sz w:val="19"/>
                <w:szCs w:val="19"/>
              </w:rPr>
              <w:t>其他结果</w:t>
            </w:r>
          </w:p>
        </w:tc>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120" w:right="-120"/>
              <w:jc w:val="center"/>
            </w:pPr>
            <w:r>
              <w:rPr>
                <w:rFonts w:hint="eastAsia" w:ascii="宋体" w:hAnsi="宋体" w:eastAsia="宋体" w:cs="宋体"/>
                <w:sz w:val="19"/>
                <w:szCs w:val="19"/>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120" w:right="-120"/>
              <w:jc w:val="center"/>
            </w:pPr>
            <w:r>
              <w:rPr>
                <w:rFonts w:hint="eastAsia" w:ascii="宋体" w:hAnsi="宋体" w:eastAsia="宋体" w:cs="宋体"/>
                <w:sz w:val="19"/>
                <w:szCs w:val="19"/>
              </w:rPr>
              <w:t>审结</w:t>
            </w:r>
          </w:p>
        </w:tc>
        <w:tc>
          <w:tcPr>
            <w:tcW w:w="66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pPr>
            <w:r>
              <w:rPr>
                <w:rFonts w:hint="eastAsia" w:ascii="宋体" w:hAnsi="宋体" w:eastAsia="宋体" w:cs="宋体"/>
                <w:sz w:val="19"/>
                <w:szCs w:val="19"/>
              </w:rPr>
              <w:t>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pPr>
            <w:r>
              <w:rPr>
                <w:rFonts w:hint="eastAsia" w:ascii="宋体" w:hAnsi="宋体" w:eastAsia="宋体" w:cs="宋体"/>
                <w:sz w:val="19"/>
                <w:szCs w:val="19"/>
              </w:rPr>
              <w:t>计</w:t>
            </w:r>
          </w:p>
        </w:tc>
        <w:tc>
          <w:tcPr>
            <w:tcW w:w="297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pPr>
            <w:r>
              <w:rPr>
                <w:rFonts w:hint="eastAsia" w:ascii="宋体" w:hAnsi="宋体" w:eastAsia="宋体" w:cs="宋体"/>
                <w:sz w:val="19"/>
                <w:szCs w:val="19"/>
              </w:rPr>
              <w:t>未经复议直接起诉</w:t>
            </w:r>
          </w:p>
        </w:tc>
        <w:tc>
          <w:tcPr>
            <w:tcW w:w="303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pPr>
            <w:r>
              <w:rPr>
                <w:rFonts w:hint="eastAsia" w:ascii="宋体" w:hAnsi="宋体" w:eastAsia="宋体" w:cs="宋体"/>
                <w:sz w:val="19"/>
                <w:szCs w:val="19"/>
              </w:rPr>
              <w:t>复议后起诉</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trHeight w:val="900" w:hRule="atLeast"/>
          <w:jc w:val="center"/>
        </w:trPr>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6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105" w:right="-120"/>
              <w:jc w:val="center"/>
            </w:pPr>
            <w:r>
              <w:rPr>
                <w:rFonts w:hint="eastAsia" w:ascii="宋体" w:hAnsi="宋体" w:eastAsia="宋体" w:cs="宋体"/>
                <w:sz w:val="19"/>
                <w:szCs w:val="19"/>
              </w:rPr>
              <w:t>结果维持</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90" w:right="-90"/>
              <w:jc w:val="center"/>
            </w:pPr>
            <w:r>
              <w:rPr>
                <w:rFonts w:hint="eastAsia" w:ascii="宋体" w:hAnsi="宋体" w:eastAsia="宋体" w:cs="宋体"/>
                <w:sz w:val="19"/>
                <w:szCs w:val="19"/>
              </w:rPr>
              <w:t>结果纠正</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120" w:right="-135"/>
              <w:jc w:val="center"/>
            </w:pPr>
            <w:r>
              <w:rPr>
                <w:rFonts w:hint="eastAsia" w:ascii="宋体" w:hAnsi="宋体" w:eastAsia="宋体" w:cs="宋体"/>
                <w:sz w:val="19"/>
                <w:szCs w:val="19"/>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120" w:right="-135"/>
              <w:jc w:val="center"/>
            </w:pPr>
            <w:r>
              <w:rPr>
                <w:rFonts w:hint="eastAsia" w:ascii="宋体" w:hAnsi="宋体" w:eastAsia="宋体" w:cs="宋体"/>
                <w:sz w:val="19"/>
                <w:szCs w:val="19"/>
              </w:rPr>
              <w:t>结果</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165" w:right="-150"/>
              <w:jc w:val="center"/>
            </w:pPr>
            <w:r>
              <w:rPr>
                <w:rFonts w:hint="eastAsia" w:ascii="宋体" w:hAnsi="宋体" w:eastAsia="宋体" w:cs="宋体"/>
                <w:sz w:val="19"/>
                <w:szCs w:val="19"/>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165" w:right="-150"/>
              <w:jc w:val="center"/>
            </w:pPr>
            <w:r>
              <w:rPr>
                <w:rFonts w:hint="eastAsia" w:ascii="宋体" w:hAnsi="宋体" w:eastAsia="宋体" w:cs="宋体"/>
                <w:sz w:val="19"/>
                <w:szCs w:val="19"/>
              </w:rPr>
              <w:t>审结</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pPr>
            <w:r>
              <w:rPr>
                <w:rFonts w:hint="eastAsia" w:ascii="宋体" w:hAnsi="宋体" w:eastAsia="宋体" w:cs="宋体"/>
                <w:sz w:val="19"/>
                <w:szCs w:val="19"/>
              </w:rPr>
              <w:t>总计</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105" w:right="-75"/>
              <w:jc w:val="center"/>
            </w:pPr>
            <w:r>
              <w:rPr>
                <w:rFonts w:hint="eastAsia" w:ascii="宋体" w:hAnsi="宋体" w:eastAsia="宋体" w:cs="宋体"/>
                <w:sz w:val="19"/>
                <w:szCs w:val="19"/>
              </w:rPr>
              <w:t>结果维持</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135" w:right="-120"/>
              <w:jc w:val="center"/>
            </w:pPr>
            <w:r>
              <w:rPr>
                <w:rFonts w:hint="eastAsia" w:ascii="宋体" w:hAnsi="宋体" w:eastAsia="宋体" w:cs="宋体"/>
                <w:sz w:val="19"/>
                <w:szCs w:val="19"/>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135" w:right="-120"/>
              <w:jc w:val="center"/>
            </w:pPr>
            <w:r>
              <w:rPr>
                <w:rFonts w:hint="eastAsia" w:ascii="宋体" w:hAnsi="宋体" w:eastAsia="宋体" w:cs="宋体"/>
                <w:sz w:val="19"/>
                <w:szCs w:val="19"/>
              </w:rPr>
              <w:t>纠正</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180" w:right="-135"/>
              <w:jc w:val="center"/>
            </w:pPr>
            <w:r>
              <w:rPr>
                <w:rFonts w:hint="eastAsia" w:ascii="宋体" w:hAnsi="宋体" w:eastAsia="宋体" w:cs="宋体"/>
                <w:sz w:val="19"/>
                <w:szCs w:val="19"/>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180" w:right="-135"/>
              <w:jc w:val="center"/>
            </w:pPr>
            <w:r>
              <w:rPr>
                <w:rFonts w:hint="eastAsia" w:ascii="宋体" w:hAnsi="宋体" w:eastAsia="宋体" w:cs="宋体"/>
                <w:sz w:val="19"/>
                <w:szCs w:val="19"/>
              </w:rPr>
              <w:t>结果</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60" w:right="-105"/>
              <w:jc w:val="center"/>
            </w:pPr>
            <w:r>
              <w:rPr>
                <w:rFonts w:hint="eastAsia" w:ascii="宋体" w:hAnsi="宋体" w:eastAsia="宋体" w:cs="宋体"/>
                <w:sz w:val="19"/>
                <w:szCs w:val="19"/>
              </w:rPr>
              <w:t>尚未审结</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jc w:val="center"/>
            </w:pPr>
            <w:r>
              <w:rPr>
                <w:rFonts w:hint="eastAsia" w:ascii="宋体" w:hAnsi="宋体" w:eastAsia="宋体" w:cs="宋体"/>
                <w:sz w:val="19"/>
                <w:szCs w:val="19"/>
              </w:rPr>
              <w:t>总计</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75" w:type="dxa"/>
            <w:left w:w="150" w:type="dxa"/>
            <w:bottom w:w="75" w:type="dxa"/>
            <w:right w:w="150" w:type="dxa"/>
          </w:tblCellMar>
        </w:tblPrEx>
        <w:trPr>
          <w:jc w:val="center"/>
        </w:trPr>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t> </w:t>
            </w:r>
            <w:r>
              <w:rPr>
                <w:rFonts w:hint="eastAsia" w:ascii="宋体" w:hAnsi="宋体" w:eastAsia="宋体" w:cs="宋体"/>
                <w:sz w:val="19"/>
                <w:szCs w:val="19"/>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sz w:val="19"/>
                <w:szCs w:val="19"/>
              </w:rPr>
              <w:t>0</w:t>
            </w:r>
            <w:r>
              <w:t> </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t> </w:t>
            </w:r>
            <w:r>
              <w:rPr>
                <w:rFonts w:hint="eastAsia" w:ascii="宋体" w:hAnsi="宋体" w:eastAsia="宋体" w:cs="宋体"/>
                <w:sz w:val="19"/>
                <w:szCs w:val="19"/>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t> </w:t>
            </w:r>
            <w:r>
              <w:rPr>
                <w:rFonts w:hint="eastAsia" w:ascii="宋体" w:hAnsi="宋体" w:eastAsia="宋体" w:cs="宋体"/>
                <w:sz w:val="19"/>
                <w:szCs w:val="19"/>
              </w:rPr>
              <w:t>0</w:t>
            </w:r>
          </w:p>
        </w:tc>
        <w:tc>
          <w:tcPr>
            <w:tcW w:w="6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sz w:val="19"/>
                <w:szCs w:val="19"/>
              </w:rPr>
              <w:t>0</w:t>
            </w:r>
            <w:r>
              <w:t> </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t> </w:t>
            </w:r>
            <w:r>
              <w:rPr>
                <w:rFonts w:hint="eastAsia" w:ascii="宋体" w:hAnsi="宋体" w:eastAsia="宋体" w:cs="宋体"/>
                <w:sz w:val="19"/>
                <w:szCs w:val="19"/>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sz w:val="19"/>
                <w:szCs w:val="19"/>
              </w:rPr>
              <w:t>0</w:t>
            </w:r>
            <w:r>
              <w:t> </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t> </w:t>
            </w:r>
            <w:r>
              <w:rPr>
                <w:rFonts w:hint="eastAsia" w:ascii="宋体" w:hAnsi="宋体" w:eastAsia="宋体" w:cs="宋体"/>
                <w:sz w:val="19"/>
                <w:szCs w:val="19"/>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sz w:val="19"/>
                <w:szCs w:val="19"/>
              </w:rPr>
              <w:t>0</w:t>
            </w:r>
            <w:r>
              <w:t> </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t> </w:t>
            </w:r>
            <w:r>
              <w:rPr>
                <w:rFonts w:hint="eastAsia" w:ascii="宋体" w:hAnsi="宋体" w:eastAsia="宋体" w:cs="宋体"/>
                <w:sz w:val="19"/>
                <w:szCs w:val="19"/>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t> </w:t>
            </w:r>
            <w:r>
              <w:rPr>
                <w:rFonts w:hint="eastAsia" w:ascii="宋体" w:hAnsi="宋体" w:eastAsia="宋体" w:cs="宋体"/>
                <w:sz w:val="19"/>
                <w:szCs w:val="19"/>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sz w:val="19"/>
                <w:szCs w:val="19"/>
              </w:rPr>
              <w:t>0</w:t>
            </w:r>
            <w:r>
              <w:t> </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eastAsia" w:ascii="宋体" w:hAnsi="宋体" w:eastAsia="宋体" w:cs="宋体"/>
                <w:sz w:val="19"/>
                <w:szCs w:val="19"/>
              </w:rPr>
              <w:t>0</w:t>
            </w:r>
            <w:r>
              <w:t> </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t> </w:t>
            </w:r>
            <w:r>
              <w:rPr>
                <w:rFonts w:hint="eastAsia" w:ascii="宋体" w:hAnsi="宋体" w:eastAsia="宋体" w:cs="宋体"/>
                <w:sz w:val="19"/>
                <w:szCs w:val="19"/>
              </w:rPr>
              <w:t>0</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5" w:afterAutospacing="0" w:line="315" w:lineRule="atLeast"/>
              <w:ind w:left="0" w:right="0"/>
            </w:pPr>
            <w:r>
              <w:rPr>
                <w:rFonts w:hint="eastAsia" w:ascii="宋体" w:hAnsi="宋体" w:eastAsia="宋体" w:cs="宋体"/>
                <w:sz w:val="24"/>
                <w:szCs w:val="24"/>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right="0" w:firstLine="620" w:firstLineChars="200"/>
        <w:jc w:val="both"/>
        <w:rPr>
          <w:rFonts w:hint="eastAsia" w:ascii="黑体" w:hAnsi="宋体" w:eastAsia="黑体" w:cs="黑体"/>
          <w:i w:val="0"/>
          <w:iCs w:val="0"/>
          <w:caps w:val="0"/>
          <w:color w:val="333333"/>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right="0" w:firstLine="620" w:firstLineChars="200"/>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333333"/>
          <w:spacing w:val="0"/>
          <w:sz w:val="31"/>
          <w:szCs w:val="31"/>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645"/>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shd w:val="clear" w:fill="FFFFFF"/>
        </w:rPr>
        <w:t>2022年，市交通运输局在政府信息公开工作方面主要存在政府信息公开内容不丰富、范围不全面、主动性、及时性不强等问题。针对这些问题，下一步将做好以下工作：一是进一步创新公开的形式。充分利用外部网站等信息化手段，从有利于公众查阅的角度，科学合理设置相关栏目，确保公开的实效，切实发挥政府信息公开的作用。二是</w:t>
      </w:r>
      <w:r>
        <w:rPr>
          <w:rFonts w:hint="eastAsia" w:ascii="仿宋_GB2312" w:hAnsi="sans-serif" w:eastAsia="仿宋_GB2312" w:cs="仿宋_GB2312"/>
          <w:i w:val="0"/>
          <w:iCs w:val="0"/>
          <w:caps w:val="0"/>
          <w:color w:val="333333"/>
          <w:spacing w:val="0"/>
          <w:sz w:val="31"/>
          <w:szCs w:val="31"/>
          <w:shd w:val="clear" w:fill="FFFFFF"/>
        </w:rPr>
        <w:t>进一步完善体制机制，加强领导，明确职责，确保信息公开及时准确。</w:t>
      </w:r>
      <w:r>
        <w:rPr>
          <w:rFonts w:hint="eastAsia" w:ascii="仿宋_GB2312" w:hAnsi="sans-serif" w:eastAsia="仿宋_GB2312" w:cs="仿宋_GB2312"/>
          <w:i w:val="0"/>
          <w:iCs w:val="0"/>
          <w:caps w:val="0"/>
          <w:color w:val="000000"/>
          <w:spacing w:val="0"/>
          <w:sz w:val="31"/>
          <w:szCs w:val="31"/>
          <w:shd w:val="clear" w:fill="FFFFFF"/>
        </w:rPr>
        <w:t>三是继续学习领会《条例》的精神。深入开展业务学习和交流活动，提高工作人员对信息公开及保密工作的认识水平和政策把握能力，不断改进工作作风和方式方法，提高信息公开工作水平，高效完成信息公开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420"/>
        <w:jc w:val="both"/>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333333"/>
          <w:spacing w:val="0"/>
          <w:sz w:val="31"/>
          <w:szCs w:val="31"/>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shd w:val="clear" w:fill="FFFFFF"/>
        </w:rPr>
        <w:t>    2022年，按照《国务院办公厅关于印发〈政府信息公开信息处理费管理办法〉的通知》（国办函〔2020〕109号）规定的按件、按量收费标准，没有产生信息公开处理费，我局承办市人大十九届一次会议普通建议12件，建议答复率和人大代表满意率达到100%，承办市政协十五届一次会议普通提案11件，提案答复率和政协委员满意率达到100%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kZGMyZmEyOGQ5ZTA3ODgzNWVkY2RiYmI0Y2RhNGQifQ=="/>
  </w:docVars>
  <w:rsids>
    <w:rsidRoot w:val="00000000"/>
    <w:rsid w:val="04567CE7"/>
    <w:rsid w:val="071408DC"/>
    <w:rsid w:val="0AA223A8"/>
    <w:rsid w:val="118B7221"/>
    <w:rsid w:val="14B46A8F"/>
    <w:rsid w:val="20054643"/>
    <w:rsid w:val="28333D17"/>
    <w:rsid w:val="41F30347"/>
    <w:rsid w:val="45626C19"/>
    <w:rsid w:val="48967C7F"/>
    <w:rsid w:val="4FC43323"/>
    <w:rsid w:val="753F6E24"/>
    <w:rsid w:val="76DD6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1956</Words>
  <Characters>2047</Characters>
  <Lines>0</Lines>
  <Paragraphs>0</Paragraphs>
  <TotalTime>1</TotalTime>
  <ScaleCrop>false</ScaleCrop>
  <LinksUpToDate>false</LinksUpToDate>
  <CharactersWithSpaces>2048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2023-02-07T02:34:00Z</dcterms:created>
  <dc:creator>Administrator</dc:creator>
  <cp:lastModifiedBy>Administrator</cp:lastModifiedBy>
  <cp:lastPrinted>2023-02-07T02:39:00Z</cp:lastPrinted>
  <dcterms:modified xsi:type="dcterms:W3CDTF">2024-01-26T07:49:11Z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FF48DD35C92747A1986985ADC4E7D609</vt:lpwstr>
  </property>
</Properties>
</file>