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55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10" w:name="_GoBack"/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临清市魏湾镇人民政府关于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2022年度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55" w:lineRule="atLeast"/>
        <w:ind w:left="0" w:right="0" w:firstLine="4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政务信息公开的年度报告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 </w:t>
      </w:r>
    </w:p>
    <w:bookmarkEnd w:id="1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根据《中华人民共和国政府信息公开条例》和《山东省政府信息公开办法》相关文件要求，现公布临清市魏湾镇2022年政府信息公开工作年度报告。（报告中所列数据的统计期限自2022年1月1日起至2022年12月31日止）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Style w:val="5"/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（一）主动公开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2022年，魏湾镇坚持以习近平新时代中国特色社会主义思想为指导，认真落实市委市政府部署安排，紧紧围绕全市“4+1”五项重点工作，对照上级关于政务信息网上公开检查的内容进行了认真的自查。在政务信息公开方面，不断完善，及时更新，实现了网上公开。2021年度共主动公开政府信息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shd w:val="clear" w:fill="FFFFFF"/>
        </w:rPr>
        <w:t>189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条，其中全文电子化达100%。在主动公开的信息中，包括政府信息公开年报、部门职能、领导分工调整情况、工作动态、便民措施等信息内容。通过网站接受群众举报、投诉、咨询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shd w:val="clear" w:fill="FFFFFF"/>
        </w:rPr>
        <w:t>0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起，通过网站反馈群众电话投诉、咨询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FF0000"/>
          <w:spacing w:val="0"/>
          <w:sz w:val="31"/>
          <w:szCs w:val="31"/>
          <w:shd w:val="clear" w:fill="FFFFFF"/>
        </w:rPr>
        <w:t>0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（二）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依申请公开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1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镇党政办公室规范了依申请公开流程。根据新修订的《条例》和省政府《信息公开告知书》，明确接收、登记、办理、调查、答复等各环节标准和责任分工，制定了统一格式答复书样本。严格规范依申请公开工作流程，明确责任岗位和人员，定期定时公开政府信息依申请情况统计。切实做到群众应知尽知，有效满足群众的政务信息需求。今年未收到依申请公开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61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（三）政府信息管理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根据《条例》修改了《政府信息公开指南》，进一步加强政府门户网站信息管理，规范政务公开流程，做好网站信息审核发布工作，保证发布信息的准确性、及时性。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（四）信息公开平台建设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在做好网络信息公开的同时，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进一步健全信息公开工作领导小组，严格按照各项职能，严格压实责任，保障及时、高效、高质量的完成信息公开工作。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积极建设多方位信息公开平台，在便民服务大厅，设置政府信息查阅点，方便接受群众的咨询和申请，为公众办理日常业务、提供帮助服务；在全镇各处设立了高规格的公开栏，对各项政策规定、重大决策、工作安排及时公开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（五）监督保障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魏湾镇认真贯彻政府信息公开条例，依法履行、推进本单位政府信息公开工作职能，加强政务公开机构建设、专职人员配备和业务培训，切实提升信息公开工作能力，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对政府网站、政务新媒体出现的问题及时进行整改，严肃责任追究。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并明确了保密审查责任和程序，建立了信息公开时机、范围、方式和防止泄露个人信息的审查制度。2022年，魏湾镇党政办公室信息公开工作没有发生泄密事件和责任追究情况。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二、主动公开政府信息情况</w:t>
      </w:r>
    </w:p>
    <w:tbl>
      <w:tblPr>
        <w:tblStyle w:val="3"/>
        <w:tblW w:w="882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205"/>
        <w:gridCol w:w="2205"/>
        <w:gridCol w:w="2205"/>
        <w:gridCol w:w="220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88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信息内容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本年制发件数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本年废止件数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规章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行政规范性文件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88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信息内容</w:t>
            </w:r>
          </w:p>
        </w:tc>
        <w:tc>
          <w:tcPr>
            <w:tcW w:w="6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行政许可</w:t>
            </w:r>
          </w:p>
        </w:tc>
        <w:tc>
          <w:tcPr>
            <w:tcW w:w="6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88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信息内容</w:t>
            </w:r>
          </w:p>
        </w:tc>
        <w:tc>
          <w:tcPr>
            <w:tcW w:w="6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行政处罚</w:t>
            </w:r>
          </w:p>
        </w:tc>
        <w:tc>
          <w:tcPr>
            <w:tcW w:w="6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行政强制</w:t>
            </w:r>
          </w:p>
        </w:tc>
        <w:tc>
          <w:tcPr>
            <w:tcW w:w="6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88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信息内容</w:t>
            </w:r>
          </w:p>
        </w:tc>
        <w:tc>
          <w:tcPr>
            <w:tcW w:w="6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本年收费金额（单位：万元）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行政事业性收费</w:t>
            </w:r>
          </w:p>
        </w:tc>
        <w:tc>
          <w:tcPr>
            <w:tcW w:w="6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三、收到和处理政府信息公开申请情况</w:t>
      </w:r>
    </w:p>
    <w:tbl>
      <w:tblPr>
        <w:tblStyle w:val="3"/>
        <w:tblW w:w="9540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30"/>
        <w:gridCol w:w="1555"/>
        <w:gridCol w:w="2603"/>
        <w:gridCol w:w="697"/>
        <w:gridCol w:w="504"/>
        <w:gridCol w:w="504"/>
        <w:gridCol w:w="654"/>
        <w:gridCol w:w="617"/>
        <w:gridCol w:w="491"/>
        <w:gridCol w:w="659"/>
        <w:gridCol w:w="626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  <w:jc w:val="center"/>
        </w:trPr>
        <w:tc>
          <w:tcPr>
            <w:tcW w:w="510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楷体_GB2312" w:eastAsia="楷体_GB2312" w:cs="楷体_GB2312"/>
                <w:sz w:val="21"/>
                <w:szCs w:val="21"/>
              </w:rPr>
              <w:t>（本列数据的勾稽关系为：第一项加第二项之和，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楷体_GB2312" w:eastAsia="楷体_GB2312" w:cs="楷体_GB2312"/>
                <w:sz w:val="21"/>
                <w:szCs w:val="21"/>
              </w:rPr>
              <w:t>等于第三项加第四项之和）</w:t>
            </w:r>
          </w:p>
        </w:tc>
        <w:tc>
          <w:tcPr>
            <w:tcW w:w="44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  <w:jc w:val="center"/>
        </w:trPr>
        <w:tc>
          <w:tcPr>
            <w:tcW w:w="510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自然人</w:t>
            </w:r>
          </w:p>
        </w:tc>
        <w:tc>
          <w:tcPr>
            <w:tcW w:w="3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总计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15" w:hRule="atLeast"/>
          <w:jc w:val="center"/>
        </w:trPr>
        <w:tc>
          <w:tcPr>
            <w:tcW w:w="510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05" w:right="-105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商业企业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05" w:right="-105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科研机构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05" w:right="-105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社会公益组织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05" w:right="-105" w:firstLine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法律服务机构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-60" w:right="-135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5" w:hRule="atLeast"/>
          <w:jc w:val="center"/>
        </w:trPr>
        <w:tc>
          <w:tcPr>
            <w:tcW w:w="5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宋体" w:eastAsia="黑体" w:cs="黑体"/>
                <w:sz w:val="21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5" w:hRule="atLeast"/>
          <w:jc w:val="center"/>
        </w:trPr>
        <w:tc>
          <w:tcPr>
            <w:tcW w:w="5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三、本年度办理结果</w:t>
            </w:r>
          </w:p>
        </w:tc>
        <w:tc>
          <w:tcPr>
            <w:tcW w:w="4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（一）予以公开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宋体" w:eastAsia="黑体" w:cs="黑体"/>
                <w:sz w:val="21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宋体" w:eastAsia="黑体" w:cs="黑体"/>
                <w:sz w:val="21"/>
                <w:szCs w:val="21"/>
              </w:rPr>
              <w:t>）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-105" w:right="0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（三）不予公开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1.属于国家秘密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eastAsia="仿宋_GB2312" w:cs="仿宋_GB2312"/>
                <w:sz w:val="21"/>
                <w:szCs w:val="21"/>
              </w:rPr>
              <w:t>其他法律行政法规禁止公开</w:t>
            </w:r>
            <w:bookmarkEnd w:id="2"/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3.危及“三安全一稳定”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eastAsia="仿宋_GB2312" w:cs="仿宋_GB2312"/>
                <w:sz w:val="21"/>
                <w:szCs w:val="21"/>
              </w:rPr>
              <w:t>保护第三方合法权益</w:t>
            </w:r>
            <w:bookmarkEnd w:id="3"/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eastAsia="仿宋_GB2312" w:cs="仿宋_GB2312"/>
                <w:sz w:val="21"/>
                <w:szCs w:val="21"/>
              </w:rPr>
              <w:t>属于四类过程性信息</w:t>
            </w:r>
            <w:bookmarkEnd w:id="4"/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eastAsia="仿宋_GB2312" w:cs="仿宋_GB2312"/>
                <w:sz w:val="21"/>
                <w:szCs w:val="21"/>
              </w:rPr>
              <w:t>属于行政查询事项</w:t>
            </w:r>
            <w:bookmarkEnd w:id="5"/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-105" w:right="0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（四）无法提供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eastAsia="仿宋_GB2312" w:cs="仿宋_GB2312"/>
                <w:sz w:val="21"/>
                <w:szCs w:val="21"/>
              </w:rPr>
              <w:t>没有现成信息需要另行制作</w:t>
            </w:r>
            <w:bookmarkEnd w:id="6"/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eastAsia="仿宋_GB2312" w:cs="仿宋_GB2312"/>
                <w:sz w:val="21"/>
                <w:szCs w:val="21"/>
              </w:rPr>
              <w:t>补正后申请内容仍不明确</w:t>
            </w:r>
            <w:bookmarkEnd w:id="7"/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-105" w:right="0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（五）不予处理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eastAsia="仿宋_GB2312" w:cs="仿宋_GB2312"/>
                <w:sz w:val="21"/>
                <w:szCs w:val="21"/>
              </w:rPr>
              <w:t>信访举报投诉类申请</w:t>
            </w:r>
            <w:bookmarkEnd w:id="8"/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2.重复申请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5.要求行政机关确认或重新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21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出具已获取信息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（六）其他处理</w:t>
            </w: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3.其他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（七）总计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5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FF000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FF0000"/>
          <w:spacing w:val="0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四、政府信息公开行政复议、行政诉讼情况</w:t>
      </w:r>
    </w:p>
    <w:tbl>
      <w:tblPr>
        <w:tblStyle w:val="3"/>
        <w:tblW w:w="9075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  <w:jc w:val="center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50" w:right="-165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50" w:right="-165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维持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45" w:right="-135" w:firstLine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75" w:right="-9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20" w:right="-12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20" w:right="-12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审结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bookmarkStart w:id="9" w:name="_Hlk67039688"/>
            <w:r>
              <w:rPr>
                <w:rFonts w:hint="eastAsia" w:ascii="黑体" w:hAnsi="宋体" w:eastAsia="黑体" w:cs="黑体"/>
                <w:sz w:val="19"/>
                <w:szCs w:val="19"/>
              </w:rPr>
              <w:t>复议后起诉</w:t>
            </w:r>
            <w:bookmarkEnd w:id="9"/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  <w:jc w:val="center"/>
        </w:trPr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05" w:right="-12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90" w:right="-9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20" w:right="-135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20" w:right="-135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65" w:right="-15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65" w:right="-15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审结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05" w:right="-75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35" w:right="-12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35" w:right="-12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纠正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80" w:right="-135" w:firstLine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180" w:right="-135" w:firstLine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-60" w:right="-105" w:firstLine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FF0000"/>
          <w:spacing w:val="0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 （一）</w:t>
      </w: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存在主要问题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1.2022年，我镇在政府信息公开工作方面有了显著提高，但尚存不足，由于人手有限，工作任务重，主动公开意识不强，宣传力度不够。信息公开的形式有待进一步创新，内容有待进一步拓展充实。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（二）具体解决办法和改进措施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 针对以上问题，我镇将通过以下措施改进：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1、强化思想认识，认真贯彻落实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“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马上就办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”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的办事理念，进一步转变工作作风，提升工作效率，及时公布有关信息。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2、创新工作思路，解放思想，增强工作的主动性和自觉性，不断提高工作人员的业务水平；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3、同时加大宣传力度，通过政府网站以及“大美魏湾”微信公众号等信息公开平台第一时间公开政务信息，确保公众及时知晓和有效获取信息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 （一）2022年，按照《国务院办公厅关于印发〈政府信息公开信息处理费管理办法〉的通知》（国办函〔2020〕109号）规定的按件、按量收费标准，没有产生信息公开处理费，共收到人大建议0件，政协提案0件。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31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（二）落实上级年度政务公开工作要点：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明确目标任务，压实工作责任，完善政务公开工作机制，确保政务公开工作落到实处；在政务网上公布权责清单，并加强权力清单和责任清单的动态管理；进一步加大推进政务信息公开力度；进一步拓宽信息公开渠道，提高信息公开的时效性。坚持以公开促进业务，把公开透明的要求贯穿于各个环节。做好群众关注“热点回应”的公开。加强制度落实，调动各业务部门的积极性，及时提供政务信息，进一步提高政务公开水平，不断丰富政务公开政府信息公开的内容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Calibri" w:hAnsi="Calibri" w:eastAsia="sans-serif" w:cs="Calibri"/>
          <w:i w:val="0"/>
          <w:iCs w:val="0"/>
          <w:caps w:val="0"/>
          <w:color w:val="000000"/>
          <w:spacing w:val="0"/>
          <w:sz w:val="21"/>
          <w:szCs w:val="21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ZTY5OTFkNDVlMmIzZGNjM2QzY2Y3ZjhjOTc1ZjQifQ=="/>
  </w:docVars>
  <w:rsids>
    <w:rsidRoot w:val="00000000"/>
    <w:rsid w:val="18962502"/>
    <w:rsid w:val="4E6A422B"/>
    <w:rsid w:val="7641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2496</Words>
  <Characters>2560</Characters>
  <Lines>0</Lines>
  <Paragraphs>0</Paragraphs>
  <TotalTime>0</TotalTime>
  <ScaleCrop>false</ScaleCrop>
  <LinksUpToDate>false</LinksUpToDate>
  <CharactersWithSpaces>2560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2023-02-04T03:14:00Z</dcterms:created>
  <dc:creator>user</dc:creator>
  <cp:lastModifiedBy>xxxx</cp:lastModifiedBy>
  <dcterms:modified xsi:type="dcterms:W3CDTF">2024-01-26T03:51:31Z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BD758B3FAA69450480AAE93F5F217D79_13</vt:lpwstr>
  </property>
</Properties>
</file>