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eastAsiaTheme="minorEastAsia"/>
          <w:sz w:val="52"/>
          <w:szCs w:val="52"/>
        </w:rPr>
      </w:pPr>
    </w:p>
    <w:p>
      <w:pPr>
        <w:spacing w:line="360" w:lineRule="auto"/>
        <w:jc w:val="center"/>
        <w:rPr>
          <w:rFonts w:asciiTheme="minorEastAsia" w:hAnsiTheme="minorEastAsia" w:eastAsiaTheme="minorEastAsia"/>
          <w:sz w:val="52"/>
          <w:szCs w:val="52"/>
        </w:rPr>
      </w:pPr>
    </w:p>
    <w:p>
      <w:pPr>
        <w:spacing w:line="360" w:lineRule="auto"/>
        <w:jc w:val="center"/>
        <w:rPr>
          <w:rFonts w:asciiTheme="minorEastAsia" w:hAnsiTheme="minorEastAsia" w:eastAsiaTheme="minorEastAsia"/>
          <w:sz w:val="52"/>
          <w:szCs w:val="52"/>
        </w:rPr>
      </w:pPr>
    </w:p>
    <w:p>
      <w:pPr>
        <w:spacing w:line="360" w:lineRule="auto"/>
        <w:jc w:val="center"/>
        <w:rPr>
          <w:rFonts w:asciiTheme="minorEastAsia" w:hAnsiTheme="minorEastAsia" w:eastAsiaTheme="minorEastAsia"/>
          <w:sz w:val="52"/>
          <w:szCs w:val="52"/>
        </w:rPr>
      </w:pPr>
      <w:bookmarkStart w:id="65" w:name="_GoBack"/>
    </w:p>
    <w:p>
      <w:pPr>
        <w:spacing w:line="584" w:lineRule="exact"/>
        <w:jc w:val="center"/>
        <w:rPr>
          <w:rStyle w:val="20"/>
          <w:rFonts w:ascii="方正小标宋简体" w:hAnsi="黑体" w:eastAsia="方正小标宋简体"/>
          <w:b w:val="0"/>
          <w:bCs w:val="0"/>
          <w:sz w:val="44"/>
          <w:szCs w:val="44"/>
        </w:rPr>
      </w:pPr>
      <w:r>
        <w:rPr>
          <w:rStyle w:val="20"/>
          <w:rFonts w:hint="eastAsia" w:ascii="方正小标宋简体" w:hAnsi="黑体" w:eastAsia="方正小标宋简体"/>
          <w:b w:val="0"/>
          <w:bCs w:val="0"/>
          <w:sz w:val="44"/>
          <w:szCs w:val="44"/>
        </w:rPr>
        <w:t>临清国家基本气象站气象探测环境保护</w:t>
      </w:r>
    </w:p>
    <w:p>
      <w:pPr>
        <w:spacing w:line="584" w:lineRule="exact"/>
        <w:jc w:val="center"/>
        <w:rPr>
          <w:rStyle w:val="20"/>
          <w:rFonts w:ascii="方正小标宋简体" w:hAnsi="黑体" w:eastAsia="方正小标宋简体"/>
          <w:b w:val="0"/>
          <w:bCs w:val="0"/>
          <w:sz w:val="44"/>
          <w:szCs w:val="44"/>
        </w:rPr>
      </w:pPr>
      <w:r>
        <w:rPr>
          <w:rStyle w:val="20"/>
          <w:rFonts w:hint="eastAsia" w:ascii="方正小标宋简体" w:hAnsi="黑体" w:eastAsia="方正小标宋简体"/>
          <w:b w:val="0"/>
          <w:bCs w:val="0"/>
          <w:sz w:val="44"/>
          <w:szCs w:val="44"/>
        </w:rPr>
        <w:t>专项规划（2023-2035年）</w:t>
      </w:r>
    </w:p>
    <w:bookmarkEnd w:id="65"/>
    <w:p>
      <w:pPr>
        <w:spacing w:line="360" w:lineRule="auto"/>
        <w:jc w:val="center"/>
        <w:rPr>
          <w:rFonts w:asciiTheme="minorEastAsia" w:hAnsiTheme="minorEastAsia" w:eastAsiaTheme="minorEastAsia"/>
          <w:sz w:val="48"/>
          <w:szCs w:val="48"/>
        </w:rPr>
      </w:pPr>
    </w:p>
    <w:p>
      <w:pPr>
        <w:spacing w:line="360" w:lineRule="auto"/>
        <w:jc w:val="center"/>
        <w:rPr>
          <w:rFonts w:asciiTheme="minorEastAsia" w:hAnsiTheme="minorEastAsia" w:eastAsiaTheme="minorEastAsia"/>
          <w:sz w:val="48"/>
          <w:szCs w:val="48"/>
        </w:rPr>
      </w:pPr>
    </w:p>
    <w:p>
      <w:pPr>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overflowPunct w:val="0"/>
        <w:topLinePunct/>
        <w:spacing w:line="360" w:lineRule="auto"/>
        <w:jc w:val="center"/>
        <w:rPr>
          <w:rFonts w:asciiTheme="minorEastAsia" w:hAnsiTheme="minorEastAsia" w:eastAsiaTheme="minorEastAsia"/>
          <w:sz w:val="44"/>
          <w:szCs w:val="44"/>
        </w:rPr>
      </w:pPr>
      <w:bookmarkStart w:id="0" w:name="_Toc27586"/>
    </w:p>
    <w:p>
      <w:pPr>
        <w:overflowPunct w:val="0"/>
        <w:topLinePunct/>
        <w:spacing w:line="360" w:lineRule="auto"/>
        <w:jc w:val="center"/>
        <w:rPr>
          <w:rFonts w:asciiTheme="minorEastAsia" w:hAnsiTheme="minorEastAsia" w:eastAsiaTheme="minorEastAsia"/>
          <w:sz w:val="44"/>
          <w:szCs w:val="44"/>
        </w:rPr>
      </w:pPr>
    </w:p>
    <w:p>
      <w:pPr>
        <w:overflowPunct w:val="0"/>
        <w:topLinePunct/>
        <w:spacing w:line="360" w:lineRule="auto"/>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前   言</w:t>
      </w:r>
      <w:bookmarkEnd w:id="0"/>
    </w:p>
    <w:p>
      <w:pPr>
        <w:spacing w:line="360" w:lineRule="auto"/>
        <w:ind w:firstLine="640" w:firstLineChars="200"/>
        <w:rPr>
          <w:rFonts w:asciiTheme="minorEastAsia" w:hAnsiTheme="minorEastAsia" w:eastAsiaTheme="minorEastAsia"/>
          <w:sz w:val="32"/>
          <w:szCs w:val="32"/>
        </w:rPr>
      </w:pPr>
    </w:p>
    <w:p>
      <w:pPr>
        <w:spacing w:line="360" w:lineRule="auto"/>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气象探测工作是气象业务的基础性工作。气象探测设备所获取的气象探测资料用于分析和研究天气以及气候变化，是预测、预报气象灾害的基础资料，是应对气候变化和科学决策气象灾害防御工作的依据。做好气象探测环境保护是保障气象探测资料具有代表性、准确性、比较性和连续性的唯一措施，也是有效提升气象防灾减灾能力的关键所在。《中华人民共和国气象法》和国家有关法律法规对气象探测环境保护做出了明确规定。</w:t>
      </w:r>
    </w:p>
    <w:p>
      <w:pPr>
        <w:spacing w:line="360" w:lineRule="auto"/>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为了促进气象探测环境保护与城市发展建设的全面协调和可持续发展，特编制临清国家基本气象站气象探测环境保护专项规划。</w:t>
      </w: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p>
      <w:pPr>
        <w:pStyle w:val="17"/>
        <w:spacing w:line="360" w:lineRule="auto"/>
        <w:rPr>
          <w:rFonts w:asciiTheme="minorEastAsia" w:hAnsiTheme="minorEastAsia" w:eastAsiaTheme="minorEastAsia"/>
        </w:rPr>
      </w:pPr>
    </w:p>
    <w:sdt>
      <w:sdtPr>
        <w:rPr>
          <w:rFonts w:cs="Times New Roman" w:asciiTheme="minorEastAsia" w:hAnsiTheme="minorEastAsia" w:eastAsiaTheme="minorEastAsia"/>
          <w:color w:val="auto"/>
          <w:kern w:val="2"/>
          <w:sz w:val="21"/>
          <w:szCs w:val="24"/>
          <w:lang w:val="zh-CN"/>
        </w:rPr>
        <w:id w:val="-1"/>
        <w:docPartObj>
          <w:docPartGallery w:val="Table of Contents"/>
          <w:docPartUnique/>
        </w:docPartObj>
      </w:sdtPr>
      <w:sdtEndPr>
        <w:rPr>
          <w:rFonts w:ascii="宋体" w:hAnsi="宋体" w:eastAsia="宋体" w:cs="Times New Roman"/>
          <w:b/>
          <w:bCs/>
          <w:color w:val="auto"/>
          <w:kern w:val="2"/>
          <w:sz w:val="24"/>
          <w:szCs w:val="24"/>
          <w:lang w:val="zh-CN"/>
        </w:rPr>
      </w:sdtEndPr>
      <w:sdtContent>
        <w:p>
          <w:pPr>
            <w:pStyle w:val="30"/>
            <w:spacing w:line="360" w:lineRule="auto"/>
            <w:jc w:val="center"/>
            <w:rPr>
              <w:rFonts w:asciiTheme="minorEastAsia" w:hAnsiTheme="minorEastAsia" w:eastAsiaTheme="minorEastAsia"/>
              <w:lang w:val="zh-CN"/>
            </w:rPr>
          </w:pPr>
        </w:p>
        <w:p>
          <w:pPr>
            <w:pStyle w:val="30"/>
            <w:spacing w:line="360" w:lineRule="auto"/>
            <w:jc w:val="center"/>
            <w:rPr>
              <w:rFonts w:ascii="黑体" w:hAnsi="黑体" w:eastAsia="黑体"/>
              <w:color w:val="auto"/>
              <w:sz w:val="36"/>
              <w:szCs w:val="36"/>
              <w:lang w:val="zh-CN"/>
            </w:rPr>
          </w:pPr>
          <w:r>
            <w:rPr>
              <w:rFonts w:ascii="黑体" w:hAnsi="黑体" w:eastAsia="黑体"/>
              <w:color w:val="auto"/>
              <w:sz w:val="36"/>
              <w:szCs w:val="36"/>
              <w:lang w:val="zh-CN"/>
            </w:rPr>
            <w:t>目  录</w:t>
          </w:r>
        </w:p>
        <w:p>
          <w:pPr>
            <w:pStyle w:val="13"/>
            <w:rPr>
              <w:rFonts w:cstheme="minorBidi"/>
              <w14:ligatures w14:val="standardContextual"/>
            </w:rPr>
          </w:pPr>
          <w:r>
            <w:fldChar w:fldCharType="begin"/>
          </w:r>
          <w:r>
            <w:instrText xml:space="preserve"> TOC \o "1-3" \h \z \u </w:instrText>
          </w:r>
          <w:r>
            <w:fldChar w:fldCharType="separate"/>
          </w:r>
          <w:r>
            <w:fldChar w:fldCharType="begin"/>
          </w:r>
          <w:r>
            <w:instrText xml:space="preserve"> HYPERLINK \l "_Toc146635360" </w:instrText>
          </w:r>
          <w:r>
            <w:fldChar w:fldCharType="separate"/>
          </w:r>
          <w:r>
            <w:rPr>
              <w:rStyle w:val="22"/>
              <w:rFonts w:ascii="宋体" w:hAnsi="宋体"/>
              <w:bCs/>
              <w:sz w:val="24"/>
            </w:rPr>
            <w:t>第一章 临清市概况</w:t>
          </w:r>
          <w:r>
            <w:tab/>
          </w:r>
          <w:r>
            <w:fldChar w:fldCharType="begin"/>
          </w:r>
          <w:r>
            <w:instrText xml:space="preserve"> PAGEREF _Toc146635360 \h </w:instrText>
          </w:r>
          <w:r>
            <w:fldChar w:fldCharType="separate"/>
          </w:r>
          <w:r>
            <w:t>1</w:t>
          </w:r>
          <w:r>
            <w:fldChar w:fldCharType="end"/>
          </w:r>
          <w: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"_Toc146635361" </w:instrText>
          </w:r>
          <w:r>
            <w:fldChar w:fldCharType="separate"/>
          </w:r>
          <w:r>
            <w:rPr>
              <w:rStyle w:val="22"/>
              <w:rFonts w:ascii="宋体" w:hAnsi="宋体" w:eastAsia="宋体"/>
              <w:sz w:val="24"/>
              <w:szCs w:val="24"/>
            </w:rPr>
            <w:t>第一节 自然条件</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_Toc146635361 \h </w:instrText>
          </w:r>
          <w:r>
            <w:rPr>
              <w:rFonts w:ascii="宋体" w:hAnsi="宋体" w:eastAsia="宋体"/>
              <w:sz w:val="24"/>
              <w:szCs w:val="24"/>
            </w:rPr>
            <w:fldChar w:fldCharType="separate"/>
          </w:r>
          <w:r>
            <w:rPr>
              <w:rFonts w:ascii="宋体" w:hAnsi="宋体" w:eastAsia="宋体"/>
              <w:sz w:val="24"/>
              <w:szCs w:val="24"/>
            </w:rPr>
            <w:t>1</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"_Toc146635362" </w:instrText>
          </w:r>
          <w:r>
            <w:fldChar w:fldCharType="separate"/>
          </w:r>
          <w:r>
            <w:rPr>
              <w:rStyle w:val="22"/>
              <w:rFonts w:ascii="宋体" w:hAnsi="宋体" w:eastAsia="宋体"/>
              <w:sz w:val="24"/>
              <w:szCs w:val="24"/>
            </w:rPr>
            <w:t>第二节 社会经济</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_Toc146635362 \h </w:instrText>
          </w:r>
          <w:r>
            <w:rPr>
              <w:rFonts w:ascii="宋体" w:hAnsi="宋体" w:eastAsia="宋体"/>
              <w:sz w:val="24"/>
              <w:szCs w:val="24"/>
            </w:rPr>
            <w:fldChar w:fldCharType="separate"/>
          </w:r>
          <w:r>
            <w:rPr>
              <w:rFonts w:ascii="宋体" w:hAnsi="宋体" w:eastAsia="宋体"/>
              <w:sz w:val="24"/>
              <w:szCs w:val="24"/>
            </w:rPr>
            <w:t>2</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"_Toc146635363" </w:instrText>
          </w:r>
          <w:r>
            <w:fldChar w:fldCharType="separate"/>
          </w:r>
          <w:r>
            <w:rPr>
              <w:rStyle w:val="22"/>
              <w:rFonts w:ascii="宋体" w:hAnsi="宋体" w:eastAsia="宋体"/>
              <w:sz w:val="24"/>
              <w:szCs w:val="24"/>
            </w:rPr>
            <w:t>第三节  国土空间总体规划</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_Toc146635363 \h </w:instrText>
          </w:r>
          <w:r>
            <w:rPr>
              <w:rFonts w:ascii="宋体" w:hAnsi="宋体" w:eastAsia="宋体"/>
              <w:sz w:val="24"/>
              <w:szCs w:val="24"/>
            </w:rPr>
            <w:fldChar w:fldCharType="separate"/>
          </w:r>
          <w:r>
            <w:rPr>
              <w:rFonts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pPr>
            <w:pStyle w:val="13"/>
            <w:rPr>
              <w:rFonts w:cstheme="minorBidi"/>
              <w14:ligatures w14:val="standardContextual"/>
            </w:rPr>
          </w:pPr>
          <w:r>
            <w:fldChar w:fldCharType="begin"/>
          </w:r>
          <w:r>
            <w:instrText xml:space="preserve"> HYPERLINK \l "_Toc146635364" </w:instrText>
          </w:r>
          <w:r>
            <w:fldChar w:fldCharType="separate"/>
          </w:r>
          <w:r>
            <w:rPr>
              <w:rStyle w:val="22"/>
              <w:rFonts w:ascii="宋体" w:hAnsi="宋体"/>
              <w:sz w:val="24"/>
            </w:rPr>
            <w:t>第二章  规划指导思想和原则</w:t>
          </w:r>
          <w:r>
            <w:tab/>
          </w:r>
          <w:r>
            <w:fldChar w:fldCharType="begin"/>
          </w:r>
          <w:r>
            <w:instrText xml:space="preserve"> PAGEREF _Toc146635364 \h </w:instrText>
          </w:r>
          <w:r>
            <w:fldChar w:fldCharType="separate"/>
          </w:r>
          <w:r>
            <w:t>6</w:t>
          </w:r>
          <w:r>
            <w:fldChar w:fldCharType="end"/>
          </w:r>
          <w:r>
            <w:fldChar w:fldCharType="end"/>
          </w:r>
        </w:p>
        <w:p>
          <w:pPr>
            <w:pStyle w:val="14"/>
            <w:tabs>
              <w:tab w:val="left" w:pos="1260"/>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"_Toc146635365" </w:instrText>
          </w:r>
          <w:r>
            <w:fldChar w:fldCharType="separate"/>
          </w:r>
          <w:r>
            <w:rPr>
              <w:rStyle w:val="22"/>
              <w:rFonts w:ascii="宋体" w:hAnsi="宋体" w:eastAsia="宋体"/>
              <w:sz w:val="24"/>
              <w:szCs w:val="24"/>
            </w:rPr>
            <w:t>第一节</w:t>
          </w:r>
          <w:r>
            <w:rPr>
              <w:rFonts w:ascii="宋体" w:hAnsi="宋体" w:eastAsia="宋体" w:cstheme="minorBidi"/>
              <w:kern w:val="2"/>
              <w:sz w:val="24"/>
              <w:szCs w:val="24"/>
              <w14:ligatures w14:val="standardContextual"/>
            </w:rPr>
            <w:tab/>
          </w:r>
          <w:r>
            <w:rPr>
              <w:rStyle w:val="22"/>
              <w:rFonts w:ascii="宋体" w:hAnsi="宋体" w:eastAsia="宋体"/>
              <w:sz w:val="24"/>
              <w:szCs w:val="24"/>
            </w:rPr>
            <w:t>指导思想</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_Toc146635365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14"/>
            <w:tabs>
              <w:tab w:val="left" w:pos="1260"/>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"_Toc146635366" </w:instrText>
          </w:r>
          <w:r>
            <w:fldChar w:fldCharType="separate"/>
          </w:r>
          <w:r>
            <w:rPr>
              <w:rStyle w:val="22"/>
              <w:rFonts w:ascii="宋体" w:hAnsi="宋体" w:eastAsia="宋体"/>
              <w:sz w:val="24"/>
              <w:szCs w:val="24"/>
            </w:rPr>
            <w:t>第二节</w:t>
          </w:r>
          <w:r>
            <w:rPr>
              <w:rFonts w:ascii="宋体" w:hAnsi="宋体" w:eastAsia="宋体" w:cstheme="minorBidi"/>
              <w:kern w:val="2"/>
              <w:sz w:val="24"/>
              <w:szCs w:val="24"/>
              <w14:ligatures w14:val="standardContextual"/>
            </w:rPr>
            <w:tab/>
          </w:r>
          <w:r>
            <w:rPr>
              <w:rStyle w:val="22"/>
              <w:rFonts w:ascii="宋体" w:hAnsi="宋体" w:eastAsia="宋体"/>
              <w:sz w:val="24"/>
              <w:szCs w:val="24"/>
            </w:rPr>
            <w:t>主要原则</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_Toc146635366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13"/>
            <w:rPr>
              <w:rFonts w:cstheme="minorBidi"/>
              <w14:ligatures w14:val="standardContextual"/>
            </w:rPr>
          </w:pPr>
          <w:r>
            <w:fldChar w:fldCharType="begin"/>
          </w:r>
          <w:r>
            <w:instrText xml:space="preserve"> HYPERLINK \l "_Toc146635367" </w:instrText>
          </w:r>
          <w:r>
            <w:fldChar w:fldCharType="separate"/>
          </w:r>
          <w:r>
            <w:rPr>
              <w:rStyle w:val="22"/>
              <w:rFonts w:ascii="宋体" w:hAnsi="宋体"/>
              <w:sz w:val="24"/>
            </w:rPr>
            <w:t>第三章  规划内容</w:t>
          </w:r>
          <w:r>
            <w:tab/>
          </w:r>
          <w:r>
            <w:fldChar w:fldCharType="begin"/>
          </w:r>
          <w:r>
            <w:instrText xml:space="preserve"> PAGEREF _Toc146635367 \h </w:instrText>
          </w:r>
          <w:r>
            <w:fldChar w:fldCharType="separate"/>
          </w:r>
          <w:r>
            <w:t>8</w:t>
          </w:r>
          <w:r>
            <w:fldChar w:fldCharType="end"/>
          </w:r>
          <w:r>
            <w:fldChar w:fldCharType="end"/>
          </w:r>
        </w:p>
        <w:p>
          <w:pPr>
            <w:pStyle w:val="14"/>
            <w:tabs>
              <w:tab w:val="left" w:pos="1260"/>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"_Toc146635368" </w:instrText>
          </w:r>
          <w:r>
            <w:fldChar w:fldCharType="separate"/>
          </w:r>
          <w:r>
            <w:rPr>
              <w:rStyle w:val="22"/>
              <w:rFonts w:ascii="宋体" w:hAnsi="宋体" w:eastAsia="宋体"/>
              <w:sz w:val="24"/>
              <w:szCs w:val="24"/>
            </w:rPr>
            <w:t>第一节</w:t>
          </w:r>
          <w:r>
            <w:rPr>
              <w:rFonts w:ascii="宋体" w:hAnsi="宋体" w:eastAsia="宋体" w:cstheme="minorBidi"/>
              <w:kern w:val="2"/>
              <w:sz w:val="24"/>
              <w:szCs w:val="24"/>
              <w14:ligatures w14:val="standardContextual"/>
            </w:rPr>
            <w:tab/>
          </w:r>
          <w:r>
            <w:rPr>
              <w:rStyle w:val="22"/>
              <w:rFonts w:ascii="宋体" w:hAnsi="宋体" w:eastAsia="宋体"/>
              <w:sz w:val="24"/>
              <w:szCs w:val="24"/>
            </w:rPr>
            <w:t>规划目标和主要任务</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_Toc146635368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4"/>
            <w:tabs>
              <w:tab w:val="left" w:pos="1260"/>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"_Toc146635369" </w:instrText>
          </w:r>
          <w:r>
            <w:fldChar w:fldCharType="separate"/>
          </w:r>
          <w:r>
            <w:rPr>
              <w:rStyle w:val="22"/>
              <w:rFonts w:ascii="宋体" w:hAnsi="宋体" w:eastAsia="宋体"/>
              <w:sz w:val="24"/>
              <w:szCs w:val="24"/>
            </w:rPr>
            <w:t>第二节</w:t>
          </w:r>
          <w:r>
            <w:rPr>
              <w:rFonts w:ascii="宋体" w:hAnsi="宋体" w:eastAsia="宋体" w:cstheme="minorBidi"/>
              <w:kern w:val="2"/>
              <w:sz w:val="24"/>
              <w:szCs w:val="24"/>
              <w14:ligatures w14:val="standardContextual"/>
            </w:rPr>
            <w:tab/>
          </w:r>
          <w:r>
            <w:rPr>
              <w:rStyle w:val="22"/>
              <w:rFonts w:ascii="宋体" w:hAnsi="宋体" w:eastAsia="宋体"/>
              <w:sz w:val="24"/>
              <w:szCs w:val="24"/>
            </w:rPr>
            <w:t>气象探测环境保护范围和标准</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_Toc146635369 \h </w:instrText>
          </w:r>
          <w:r>
            <w:rPr>
              <w:rFonts w:ascii="宋体" w:hAnsi="宋体" w:eastAsia="宋体"/>
              <w:sz w:val="24"/>
              <w:szCs w:val="24"/>
            </w:rPr>
            <w:fldChar w:fldCharType="separate"/>
          </w:r>
          <w:r>
            <w:rPr>
              <w:rFonts w:ascii="宋体" w:hAnsi="宋体" w:eastAsia="宋体"/>
              <w:sz w:val="24"/>
              <w:szCs w:val="24"/>
            </w:rPr>
            <w:t>10</w:t>
          </w:r>
          <w:r>
            <w:rPr>
              <w:rFonts w:ascii="宋体" w:hAnsi="宋体" w:eastAsia="宋体"/>
              <w:sz w:val="24"/>
              <w:szCs w:val="24"/>
            </w:rPr>
            <w:fldChar w:fldCharType="end"/>
          </w:r>
          <w:r>
            <w:rPr>
              <w:rFonts w:ascii="宋体" w:hAnsi="宋体" w:eastAsia="宋体"/>
              <w:sz w:val="24"/>
              <w:szCs w:val="24"/>
            </w:rPr>
            <w:fldChar w:fldCharType="end"/>
          </w:r>
        </w:p>
        <w:p>
          <w:pPr>
            <w:pStyle w:val="13"/>
            <w:rPr>
              <w:rFonts w:cstheme="minorBidi"/>
              <w14:ligatures w14:val="standardContextual"/>
            </w:rPr>
          </w:pPr>
          <w:r>
            <w:fldChar w:fldCharType="begin"/>
          </w:r>
          <w:r>
            <w:instrText xml:space="preserve"> HYPERLINK \l "_Toc146635370" </w:instrText>
          </w:r>
          <w:r>
            <w:fldChar w:fldCharType="separate"/>
          </w:r>
          <w:r>
            <w:rPr>
              <w:rStyle w:val="22"/>
              <w:rFonts w:ascii="宋体" w:hAnsi="宋体"/>
              <w:sz w:val="24"/>
            </w:rPr>
            <w:t>第四章  临清国家基本气象站探测环境的保护标准</w:t>
          </w:r>
          <w:r>
            <w:tab/>
          </w:r>
          <w:r>
            <w:fldChar w:fldCharType="begin"/>
          </w:r>
          <w:r>
            <w:instrText xml:space="preserve"> PAGEREF _Toc146635370 \h </w:instrText>
          </w:r>
          <w:r>
            <w:fldChar w:fldCharType="separate"/>
          </w:r>
          <w:r>
            <w:t>13</w:t>
          </w:r>
          <w:r>
            <w:fldChar w:fldCharType="end"/>
          </w:r>
          <w: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"_Toc146635371" </w:instrText>
          </w:r>
          <w:r>
            <w:fldChar w:fldCharType="separate"/>
          </w:r>
          <w:r>
            <w:rPr>
              <w:rStyle w:val="22"/>
              <w:rFonts w:ascii="宋体" w:hAnsi="宋体" w:eastAsia="宋体"/>
              <w:sz w:val="24"/>
              <w:szCs w:val="24"/>
            </w:rPr>
            <w:t>第一节  临清国家基本气象站概况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_Toc146635371 \h </w:instrText>
          </w:r>
          <w:r>
            <w:rPr>
              <w:rFonts w:ascii="宋体" w:hAnsi="宋体" w:eastAsia="宋体"/>
              <w:sz w:val="24"/>
              <w:szCs w:val="24"/>
            </w:rPr>
            <w:fldChar w:fldCharType="separate"/>
          </w:r>
          <w:r>
            <w:rPr>
              <w:rFonts w:ascii="宋体" w:hAnsi="宋体" w:eastAsia="宋体"/>
              <w:sz w:val="24"/>
              <w:szCs w:val="24"/>
            </w:rPr>
            <w:t>13</w:t>
          </w:r>
          <w:r>
            <w:rPr>
              <w:rFonts w:ascii="宋体" w:hAnsi="宋体" w:eastAsia="宋体"/>
              <w:sz w:val="24"/>
              <w:szCs w:val="24"/>
            </w:rPr>
            <w:fldChar w:fldCharType="end"/>
          </w:r>
          <w:r>
            <w:rPr>
              <w:rFonts w:ascii="宋体" w:hAnsi="宋体" w:eastAsia="宋体"/>
              <w:sz w:val="24"/>
              <w:szCs w:val="24"/>
            </w:rPr>
            <w:fldChar w:fldCharType="end"/>
          </w:r>
        </w:p>
        <w:p>
          <w:pPr>
            <w:pStyle w:val="14"/>
            <w:tabs>
              <w:tab w:val="left" w:pos="1260"/>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"_Toc146635372" </w:instrText>
          </w:r>
          <w:r>
            <w:fldChar w:fldCharType="separate"/>
          </w:r>
          <w:r>
            <w:rPr>
              <w:rStyle w:val="22"/>
              <w:rFonts w:ascii="宋体" w:hAnsi="宋体" w:eastAsia="宋体"/>
              <w:sz w:val="24"/>
              <w:szCs w:val="24"/>
            </w:rPr>
            <w:t>第</w:t>
          </w:r>
          <w:r>
            <w:rPr>
              <w:rStyle w:val="22"/>
              <w:rFonts w:hint="eastAsia" w:ascii="宋体" w:hAnsi="宋体" w:eastAsia="宋体"/>
              <w:sz w:val="24"/>
              <w:szCs w:val="24"/>
            </w:rPr>
            <w:t>二</w:t>
          </w:r>
          <w:r>
            <w:rPr>
              <w:rStyle w:val="22"/>
              <w:rFonts w:ascii="宋体" w:hAnsi="宋体" w:eastAsia="宋体"/>
              <w:sz w:val="24"/>
              <w:szCs w:val="24"/>
            </w:rPr>
            <w:t>节</w:t>
          </w:r>
          <w:r>
            <w:rPr>
              <w:rFonts w:ascii="宋体" w:hAnsi="宋体" w:eastAsia="宋体" w:cstheme="minorBidi"/>
              <w:kern w:val="2"/>
              <w:sz w:val="24"/>
              <w:szCs w:val="24"/>
              <w14:ligatures w14:val="standardContextual"/>
            </w:rPr>
            <w:tab/>
          </w:r>
          <w:r>
            <w:rPr>
              <w:rStyle w:val="22"/>
              <w:rFonts w:ascii="宋体" w:hAnsi="宋体" w:eastAsia="宋体"/>
              <w:sz w:val="24"/>
              <w:szCs w:val="24"/>
            </w:rPr>
            <w:t>临清国家基本气象站历史沿革</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_Toc146635372 \h </w:instrText>
          </w:r>
          <w:r>
            <w:rPr>
              <w:rFonts w:ascii="宋体" w:hAnsi="宋体" w:eastAsia="宋体"/>
              <w:sz w:val="24"/>
              <w:szCs w:val="24"/>
            </w:rPr>
            <w:fldChar w:fldCharType="separate"/>
          </w:r>
          <w:r>
            <w:rPr>
              <w:rFonts w:ascii="宋体" w:hAnsi="宋体" w:eastAsia="宋体"/>
              <w:sz w:val="24"/>
              <w:szCs w:val="24"/>
            </w:rPr>
            <w:t>13</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"_Toc146635373" </w:instrText>
          </w:r>
          <w:r>
            <w:fldChar w:fldCharType="separate"/>
          </w:r>
          <w:r>
            <w:rPr>
              <w:rStyle w:val="22"/>
              <w:rFonts w:ascii="宋体" w:hAnsi="宋体" w:eastAsia="宋体"/>
              <w:sz w:val="24"/>
              <w:szCs w:val="24"/>
            </w:rPr>
            <w:t>第三节  临清国家基本气象站环境现状</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_Toc146635373 \h </w:instrText>
          </w:r>
          <w:r>
            <w:rPr>
              <w:rFonts w:ascii="宋体" w:hAnsi="宋体" w:eastAsia="宋体"/>
              <w:sz w:val="24"/>
              <w:szCs w:val="24"/>
            </w:rPr>
            <w:fldChar w:fldCharType="separate"/>
          </w:r>
          <w:r>
            <w:rPr>
              <w:rFonts w:ascii="宋体" w:hAnsi="宋体" w:eastAsia="宋体"/>
              <w:sz w:val="24"/>
              <w:szCs w:val="24"/>
            </w:rPr>
            <w:t>15</w:t>
          </w:r>
          <w:r>
            <w:rPr>
              <w:rFonts w:ascii="宋体" w:hAnsi="宋体" w:eastAsia="宋体"/>
              <w:sz w:val="24"/>
              <w:szCs w:val="24"/>
            </w:rPr>
            <w:fldChar w:fldCharType="end"/>
          </w:r>
          <w:r>
            <w:rPr>
              <w:rFonts w:ascii="宋体" w:hAnsi="宋体" w:eastAsia="宋体"/>
              <w:sz w:val="24"/>
              <w:szCs w:val="24"/>
            </w:rP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"_Toc146635374" </w:instrText>
          </w:r>
          <w:r>
            <w:fldChar w:fldCharType="separate"/>
          </w:r>
          <w:r>
            <w:rPr>
              <w:rStyle w:val="22"/>
              <w:rFonts w:ascii="宋体" w:hAnsi="宋体" w:eastAsia="宋体"/>
              <w:sz w:val="24"/>
              <w:szCs w:val="24"/>
            </w:rPr>
            <w:t>第四节  临清国家基本气象站周边用地规划情况</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_Toc146635374 \h </w:instrText>
          </w:r>
          <w:r>
            <w:rPr>
              <w:rFonts w:ascii="宋体" w:hAnsi="宋体" w:eastAsia="宋体"/>
              <w:sz w:val="24"/>
              <w:szCs w:val="24"/>
            </w:rPr>
            <w:fldChar w:fldCharType="separate"/>
          </w:r>
          <w:r>
            <w:rPr>
              <w:rFonts w:ascii="宋体" w:hAnsi="宋体" w:eastAsia="宋体"/>
              <w:sz w:val="24"/>
              <w:szCs w:val="24"/>
            </w:rPr>
            <w:t>16</w:t>
          </w:r>
          <w:r>
            <w:rPr>
              <w:rFonts w:ascii="宋体" w:hAnsi="宋体" w:eastAsia="宋体"/>
              <w:sz w:val="24"/>
              <w:szCs w:val="24"/>
            </w:rPr>
            <w:fldChar w:fldCharType="end"/>
          </w:r>
          <w:r>
            <w:rPr>
              <w:rFonts w:ascii="宋体" w:hAnsi="宋体" w:eastAsia="宋体"/>
              <w:sz w:val="24"/>
              <w:szCs w:val="24"/>
            </w:rPr>
            <w:fldChar w:fldCharType="end"/>
          </w:r>
        </w:p>
        <w:p>
          <w:pPr>
            <w:pStyle w:val="13"/>
            <w:rPr>
              <w:rFonts w:cstheme="minorBidi"/>
              <w14:ligatures w14:val="standardContextual"/>
            </w:rPr>
          </w:pPr>
          <w:r>
            <w:fldChar w:fldCharType="begin"/>
          </w:r>
          <w:r>
            <w:instrText xml:space="preserve"> HYPERLINK \l "_Toc146635375" </w:instrText>
          </w:r>
          <w:r>
            <w:fldChar w:fldCharType="separate"/>
          </w:r>
          <w:r>
            <w:rPr>
              <w:rStyle w:val="22"/>
              <w:rFonts w:ascii="宋体" w:hAnsi="宋体"/>
              <w:sz w:val="24"/>
            </w:rPr>
            <w:t>第五章  规划实施</w:t>
          </w:r>
          <w:r>
            <w:tab/>
          </w:r>
          <w:r>
            <w:fldChar w:fldCharType="begin"/>
          </w:r>
          <w:r>
            <w:instrText xml:space="preserve"> PAGEREF _Toc146635375 \h </w:instrText>
          </w:r>
          <w:r>
            <w:fldChar w:fldCharType="separate"/>
          </w:r>
          <w:r>
            <w:t>19</w:t>
          </w:r>
          <w:r>
            <w:fldChar w:fldCharType="end"/>
          </w:r>
          <w:r>
            <w:fldChar w:fldCharType="end"/>
          </w:r>
        </w:p>
        <w:p>
          <w:pPr>
            <w:pStyle w:val="14"/>
            <w:tabs>
              <w:tab w:val="left" w:pos="1260"/>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"_Toc146635376" </w:instrText>
          </w:r>
          <w:r>
            <w:fldChar w:fldCharType="separate"/>
          </w:r>
          <w:r>
            <w:rPr>
              <w:rStyle w:val="22"/>
              <w:rFonts w:ascii="宋体" w:hAnsi="宋体" w:eastAsia="宋体"/>
              <w:sz w:val="24"/>
              <w:szCs w:val="24"/>
            </w:rPr>
            <w:t>第一节</w:t>
          </w:r>
          <w:r>
            <w:rPr>
              <w:rFonts w:ascii="宋体" w:hAnsi="宋体" w:eastAsia="宋体" w:cstheme="minorBidi"/>
              <w:kern w:val="2"/>
              <w:sz w:val="24"/>
              <w:szCs w:val="24"/>
              <w14:ligatures w14:val="standardContextual"/>
            </w:rPr>
            <w:tab/>
          </w:r>
          <w:r>
            <w:rPr>
              <w:rStyle w:val="22"/>
              <w:rFonts w:ascii="宋体" w:hAnsi="宋体" w:eastAsia="宋体"/>
              <w:sz w:val="24"/>
              <w:szCs w:val="24"/>
            </w:rPr>
            <w:t>气象部门和有关部门职责</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_Toc146635376 \h </w:instrText>
          </w:r>
          <w:r>
            <w:rPr>
              <w:rFonts w:ascii="宋体" w:hAnsi="宋体" w:eastAsia="宋体"/>
              <w:sz w:val="24"/>
              <w:szCs w:val="24"/>
            </w:rPr>
            <w:fldChar w:fldCharType="separate"/>
          </w:r>
          <w:r>
            <w:rPr>
              <w:rFonts w:ascii="宋体" w:hAnsi="宋体" w:eastAsia="宋体"/>
              <w:sz w:val="24"/>
              <w:szCs w:val="24"/>
            </w:rPr>
            <w:t>19</w:t>
          </w:r>
          <w:r>
            <w:rPr>
              <w:rFonts w:ascii="宋体" w:hAnsi="宋体" w:eastAsia="宋体"/>
              <w:sz w:val="24"/>
              <w:szCs w:val="24"/>
            </w:rPr>
            <w:fldChar w:fldCharType="end"/>
          </w:r>
          <w:r>
            <w:rPr>
              <w:rFonts w:ascii="宋体" w:hAnsi="宋体" w:eastAsia="宋体"/>
              <w:sz w:val="24"/>
              <w:szCs w:val="24"/>
            </w:rPr>
            <w:fldChar w:fldCharType="end"/>
          </w:r>
        </w:p>
        <w:p>
          <w:pPr>
            <w:pStyle w:val="14"/>
            <w:tabs>
              <w:tab w:val="left" w:pos="1260"/>
              <w:tab w:val="right" w:leader="dot" w:pos="8296"/>
            </w:tabs>
            <w:spacing w:line="596" w:lineRule="exact"/>
            <w:rPr>
              <w:rStyle w:val="22"/>
              <w:rFonts w:ascii="宋体" w:hAnsi="宋体" w:eastAsia="宋体"/>
              <w:sz w:val="24"/>
              <w:szCs w:val="24"/>
            </w:rPr>
          </w:pPr>
          <w:r>
            <w:fldChar w:fldCharType="begin"/>
          </w:r>
          <w:r>
            <w:instrText xml:space="preserve"> HYPERLINK \l "_Toc146635377" </w:instrText>
          </w:r>
          <w:r>
            <w:fldChar w:fldCharType="separate"/>
          </w:r>
          <w:r>
            <w:rPr>
              <w:rStyle w:val="22"/>
              <w:rFonts w:ascii="宋体" w:hAnsi="宋体" w:eastAsia="宋体"/>
              <w:sz w:val="24"/>
              <w:szCs w:val="24"/>
            </w:rPr>
            <w:t>第二节</w:t>
          </w:r>
          <w:r>
            <w:rPr>
              <w:rFonts w:ascii="宋体" w:hAnsi="宋体" w:eastAsia="宋体" w:cstheme="minorBidi"/>
              <w:kern w:val="2"/>
              <w:sz w:val="24"/>
              <w:szCs w:val="24"/>
              <w14:ligatures w14:val="standardContextual"/>
            </w:rPr>
            <w:tab/>
          </w:r>
          <w:r>
            <w:rPr>
              <w:rStyle w:val="22"/>
              <w:rFonts w:ascii="宋体" w:hAnsi="宋体" w:eastAsia="宋体"/>
              <w:sz w:val="24"/>
              <w:szCs w:val="24"/>
            </w:rPr>
            <w:t>规划实施的建议和措施</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_Toc146635377 \h </w:instrText>
          </w:r>
          <w:r>
            <w:rPr>
              <w:rFonts w:ascii="宋体" w:hAnsi="宋体" w:eastAsia="宋体"/>
              <w:sz w:val="24"/>
              <w:szCs w:val="24"/>
            </w:rPr>
            <w:fldChar w:fldCharType="separate"/>
          </w:r>
          <w:r>
            <w:rPr>
              <w:rFonts w:ascii="宋体" w:hAnsi="宋体" w:eastAsia="宋体"/>
              <w:sz w:val="24"/>
              <w:szCs w:val="24"/>
            </w:rPr>
            <w:t>20</w:t>
          </w:r>
          <w:r>
            <w:rPr>
              <w:rFonts w:ascii="宋体" w:hAnsi="宋体" w:eastAsia="宋体"/>
              <w:sz w:val="24"/>
              <w:szCs w:val="24"/>
            </w:rPr>
            <w:fldChar w:fldCharType="end"/>
          </w:r>
          <w:r>
            <w:rPr>
              <w:rFonts w:ascii="宋体" w:hAnsi="宋体" w:eastAsia="宋体"/>
              <w:sz w:val="24"/>
              <w:szCs w:val="24"/>
            </w:rPr>
            <w:fldChar w:fldCharType="end"/>
          </w:r>
        </w:p>
        <w:p>
          <w:pPr>
            <w:tabs>
              <w:tab w:val="left" w:pos="675"/>
            </w:tabs>
          </w:pPr>
          <w:r>
            <w:tab/>
          </w:r>
        </w:p>
        <w:p/>
        <w:p>
          <w:pPr>
            <w:pStyle w:val="13"/>
            <w:rPr>
              <w:rFonts w:cstheme="minorBidi"/>
              <w14:ligatures w14:val="standardContextual"/>
            </w:rPr>
          </w:pPr>
          <w:r>
            <w:fldChar w:fldCharType="begin"/>
          </w:r>
          <w:r>
            <w:instrText xml:space="preserve"> HYPERLINK \l "_Toc146635378" </w:instrText>
          </w:r>
          <w:r>
            <w:fldChar w:fldCharType="separate"/>
          </w:r>
          <w:r>
            <w:rPr>
              <w:rStyle w:val="22"/>
              <w:rFonts w:ascii="宋体" w:hAnsi="宋体"/>
              <w:bCs/>
              <w:sz w:val="24"/>
            </w:rPr>
            <w:t>附件1</w:t>
          </w:r>
          <w:r>
            <w:tab/>
          </w:r>
          <w:r>
            <w:fldChar w:fldCharType="begin"/>
          </w:r>
          <w:r>
            <w:instrText xml:space="preserve"> PAGEREF _Toc146635378 \h </w:instrText>
          </w:r>
          <w:r>
            <w:fldChar w:fldCharType="separate"/>
          </w:r>
          <w:r>
            <w:t>21</w:t>
          </w:r>
          <w:r>
            <w:fldChar w:fldCharType="end"/>
          </w:r>
          <w: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"_Toc146635379" </w:instrText>
          </w:r>
          <w:r>
            <w:fldChar w:fldCharType="separate"/>
          </w:r>
          <w:r>
            <w:rPr>
              <w:rStyle w:val="22"/>
              <w:rFonts w:ascii="宋体" w:hAnsi="宋体" w:eastAsia="宋体"/>
              <w:sz w:val="24"/>
              <w:szCs w:val="24"/>
            </w:rPr>
            <w:t>相关术语解释</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_Toc146635379 \h </w:instrText>
          </w:r>
          <w:r>
            <w:rPr>
              <w:rFonts w:ascii="宋体" w:hAnsi="宋体" w:eastAsia="宋体"/>
              <w:sz w:val="24"/>
              <w:szCs w:val="24"/>
            </w:rPr>
            <w:fldChar w:fldCharType="separate"/>
          </w:r>
          <w:r>
            <w:rPr>
              <w:rFonts w:ascii="宋体" w:hAnsi="宋体" w:eastAsia="宋体"/>
              <w:sz w:val="24"/>
              <w:szCs w:val="24"/>
            </w:rPr>
            <w:t>21</w:t>
          </w:r>
          <w:r>
            <w:rPr>
              <w:rFonts w:ascii="宋体" w:hAnsi="宋体" w:eastAsia="宋体"/>
              <w:sz w:val="24"/>
              <w:szCs w:val="24"/>
            </w:rPr>
            <w:fldChar w:fldCharType="end"/>
          </w:r>
          <w:r>
            <w:rPr>
              <w:rFonts w:ascii="宋体" w:hAnsi="宋体" w:eastAsia="宋体"/>
              <w:sz w:val="24"/>
              <w:szCs w:val="24"/>
            </w:rPr>
            <w:fldChar w:fldCharType="end"/>
          </w:r>
        </w:p>
        <w:p>
          <w:pPr>
            <w:pStyle w:val="13"/>
            <w:rPr>
              <w:rFonts w:cstheme="minorBidi"/>
              <w14:ligatures w14:val="standardContextual"/>
            </w:rPr>
          </w:pPr>
          <w:r>
            <w:fldChar w:fldCharType="begin"/>
          </w:r>
          <w:r>
            <w:instrText xml:space="preserve"> HYPERLINK \l "_Toc146635380" </w:instrText>
          </w:r>
          <w:r>
            <w:fldChar w:fldCharType="separate"/>
          </w:r>
          <w:r>
            <w:rPr>
              <w:rStyle w:val="22"/>
              <w:rFonts w:ascii="宋体" w:hAnsi="宋体"/>
              <w:bCs/>
              <w:sz w:val="24"/>
            </w:rPr>
            <w:t>附件2</w:t>
          </w:r>
          <w:r>
            <w:tab/>
          </w:r>
          <w:r>
            <w:fldChar w:fldCharType="begin"/>
          </w:r>
          <w:r>
            <w:instrText xml:space="preserve"> PAGEREF _Toc146635380 \h </w:instrText>
          </w:r>
          <w:r>
            <w:fldChar w:fldCharType="separate"/>
          </w:r>
          <w:r>
            <w:t>22</w:t>
          </w:r>
          <w:r>
            <w:fldChar w:fldCharType="end"/>
          </w:r>
          <w: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"_Toc146635381" </w:instrText>
          </w:r>
          <w:r>
            <w:fldChar w:fldCharType="separate"/>
          </w:r>
          <w:r>
            <w:rPr>
              <w:rStyle w:val="22"/>
              <w:rFonts w:ascii="宋体" w:hAnsi="宋体" w:eastAsia="宋体"/>
              <w:sz w:val="24"/>
              <w:szCs w:val="24"/>
            </w:rPr>
            <w:t>表    集</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_Toc146635381 \h </w:instrText>
          </w:r>
          <w:r>
            <w:rPr>
              <w:rFonts w:ascii="宋体" w:hAnsi="宋体" w:eastAsia="宋体"/>
              <w:sz w:val="24"/>
              <w:szCs w:val="24"/>
            </w:rPr>
            <w:fldChar w:fldCharType="separate"/>
          </w:r>
          <w:r>
            <w:rPr>
              <w:rFonts w:ascii="宋体" w:hAnsi="宋体" w:eastAsia="宋体"/>
              <w:sz w:val="24"/>
              <w:szCs w:val="24"/>
            </w:rPr>
            <w:t>22</w:t>
          </w:r>
          <w:r>
            <w:rPr>
              <w:rFonts w:ascii="宋体" w:hAnsi="宋体" w:eastAsia="宋体"/>
              <w:sz w:val="24"/>
              <w:szCs w:val="24"/>
            </w:rPr>
            <w:fldChar w:fldCharType="end"/>
          </w:r>
          <w:r>
            <w:rPr>
              <w:rFonts w:ascii="宋体" w:hAnsi="宋体" w:eastAsia="宋体"/>
              <w:sz w:val="24"/>
              <w:szCs w:val="24"/>
            </w:rPr>
            <w:fldChar w:fldCharType="end"/>
          </w:r>
        </w:p>
        <w:p>
          <w:pPr>
            <w:pStyle w:val="10"/>
            <w:rPr>
              <w:rFonts w:cstheme="minorBidi"/>
              <w:kern w:val="2"/>
              <w14:ligatures w14:val="standardContextual"/>
            </w:rPr>
          </w:pPr>
          <w:r>
            <w:fldChar w:fldCharType="begin"/>
          </w:r>
          <w:r>
            <w:instrText xml:space="preserve"> HYPERLINK \l "_Toc146635382" </w:instrText>
          </w:r>
          <w:r>
            <w:fldChar w:fldCharType="separate"/>
          </w:r>
          <w:r>
            <w:rPr>
              <w:rStyle w:val="22"/>
              <w:rFonts w:ascii="宋体" w:hAnsi="宋体" w:eastAsia="宋体"/>
              <w:bCs/>
              <w:sz w:val="24"/>
              <w:szCs w:val="24"/>
            </w:rPr>
            <w:t>附表1：气象探测环境保护区内新建建筑物高度</w:t>
          </w:r>
          <w:r>
            <w:tab/>
          </w:r>
          <w:r>
            <w:fldChar w:fldCharType="begin"/>
          </w:r>
          <w:r>
            <w:instrText xml:space="preserve"> PAGEREF _Toc146635382 \h </w:instrText>
          </w:r>
          <w:r>
            <w:fldChar w:fldCharType="separate"/>
          </w:r>
          <w:r>
            <w:t>22</w:t>
          </w:r>
          <w:r>
            <w:fldChar w:fldCharType="end"/>
          </w:r>
          <w:r>
            <w:fldChar w:fldCharType="end"/>
          </w:r>
        </w:p>
        <w:p>
          <w:pPr>
            <w:pStyle w:val="10"/>
            <w:rPr>
              <w:rFonts w:cstheme="minorBidi"/>
              <w:kern w:val="2"/>
              <w14:ligatures w14:val="standardContextual"/>
            </w:rPr>
          </w:pPr>
          <w:r>
            <w:fldChar w:fldCharType="begin"/>
          </w:r>
          <w:r>
            <w:instrText xml:space="preserve"> HYPERLINK \l "_Toc146635383" </w:instrText>
          </w:r>
          <w:r>
            <w:fldChar w:fldCharType="separate"/>
          </w:r>
          <w:r>
            <w:rPr>
              <w:rStyle w:val="22"/>
              <w:rFonts w:ascii="宋体" w:hAnsi="宋体" w:eastAsia="宋体"/>
              <w:bCs/>
              <w:sz w:val="24"/>
              <w:szCs w:val="24"/>
            </w:rPr>
            <w:t>附表2：临清国家基本气象站周边现状情况表</w:t>
          </w:r>
          <w:r>
            <w:tab/>
          </w:r>
          <w:r>
            <w:fldChar w:fldCharType="begin"/>
          </w:r>
          <w:r>
            <w:instrText xml:space="preserve"> PAGEREF _Toc146635383 \h </w:instrText>
          </w:r>
          <w:r>
            <w:fldChar w:fldCharType="separate"/>
          </w:r>
          <w:r>
            <w:t>25</w:t>
          </w:r>
          <w:r>
            <w:fldChar w:fldCharType="end"/>
          </w:r>
          <w:r>
            <w:fldChar w:fldCharType="end"/>
          </w:r>
        </w:p>
        <w:p>
          <w:pPr>
            <w:pStyle w:val="10"/>
            <w:rPr>
              <w:rFonts w:cstheme="minorBidi"/>
              <w:kern w:val="2"/>
              <w14:ligatures w14:val="standardContextual"/>
            </w:rPr>
          </w:pPr>
          <w:r>
            <w:fldChar w:fldCharType="begin"/>
          </w:r>
          <w:r>
            <w:instrText xml:space="preserve"> HYPERLINK \l "_Toc146635384" </w:instrText>
          </w:r>
          <w:r>
            <w:fldChar w:fldCharType="separate"/>
          </w:r>
          <w:r>
            <w:rPr>
              <w:rStyle w:val="22"/>
              <w:rFonts w:ascii="宋体" w:hAnsi="宋体" w:eastAsia="宋体"/>
              <w:bCs/>
              <w:sz w:val="24"/>
              <w:szCs w:val="24"/>
            </w:rPr>
            <w:t>附表3：临清国家基本气象站控制区内障碍物、影响源的限制要求</w:t>
          </w:r>
          <w:r>
            <w:tab/>
          </w:r>
          <w:r>
            <w:fldChar w:fldCharType="begin"/>
          </w:r>
          <w:r>
            <w:instrText xml:space="preserve"> PAGEREF _Toc146635384 \h </w:instrText>
          </w:r>
          <w:r>
            <w:fldChar w:fldCharType="separate"/>
          </w:r>
          <w:r>
            <w:t>27</w:t>
          </w:r>
          <w:r>
            <w:fldChar w:fldCharType="end"/>
          </w:r>
          <w:r>
            <w:fldChar w:fldCharType="end"/>
          </w:r>
        </w:p>
        <w:p>
          <w:pPr>
            <w:pStyle w:val="10"/>
            <w:rPr>
              <w:rFonts w:cstheme="minorBidi"/>
              <w:kern w:val="2"/>
              <w14:ligatures w14:val="standardContextual"/>
            </w:rPr>
          </w:pPr>
          <w:r>
            <w:fldChar w:fldCharType="begin"/>
          </w:r>
          <w:r>
            <w:instrText xml:space="preserve"> HYPERLINK \l "_Toc146635385" </w:instrText>
          </w:r>
          <w:r>
            <w:fldChar w:fldCharType="separate"/>
          </w:r>
          <w:r>
            <w:rPr>
              <w:rStyle w:val="22"/>
              <w:rFonts w:ascii="宋体" w:hAnsi="宋体" w:eastAsia="宋体"/>
              <w:bCs/>
              <w:sz w:val="24"/>
              <w:szCs w:val="24"/>
            </w:rPr>
            <w:t>附表4：临清国家基本气象站四周用地规划情况表</w:t>
          </w:r>
          <w:r>
            <w:tab/>
          </w:r>
          <w:r>
            <w:fldChar w:fldCharType="begin"/>
          </w:r>
          <w:r>
            <w:instrText xml:space="preserve"> PAGEREF _Toc146635385 \h </w:instrText>
          </w:r>
          <w:r>
            <w:fldChar w:fldCharType="separate"/>
          </w:r>
          <w:r>
            <w:t>28</w:t>
          </w:r>
          <w:r>
            <w:fldChar w:fldCharType="end"/>
          </w:r>
          <w:r>
            <w:fldChar w:fldCharType="end"/>
          </w:r>
        </w:p>
        <w:p>
          <w:pPr>
            <w:pStyle w:val="10"/>
            <w:rPr>
              <w:rFonts w:cstheme="minorBidi"/>
              <w:kern w:val="2"/>
              <w14:ligatures w14:val="standardContextual"/>
            </w:rPr>
          </w:pPr>
          <w:r>
            <w:fldChar w:fldCharType="begin"/>
          </w:r>
          <w:r>
            <w:instrText xml:space="preserve"> HYPERLINK \l "_Toc146635386" </w:instrText>
          </w:r>
          <w:r>
            <w:fldChar w:fldCharType="separate"/>
          </w:r>
          <w:r>
            <w:rPr>
              <w:rStyle w:val="22"/>
              <w:rFonts w:ascii="宋体" w:hAnsi="宋体" w:eastAsia="宋体"/>
              <w:bCs/>
              <w:sz w:val="24"/>
              <w:szCs w:val="24"/>
            </w:rPr>
            <w:t>附表5：临清国家基本气象站气象探测环境保护区障碍物控制高度表</w:t>
          </w:r>
          <w:r>
            <w:tab/>
          </w:r>
          <w:r>
            <w:fldChar w:fldCharType="begin"/>
          </w:r>
          <w:r>
            <w:instrText xml:space="preserve"> PAGEREF _Toc146635386 \h </w:instrText>
          </w:r>
          <w:r>
            <w:fldChar w:fldCharType="separate"/>
          </w:r>
          <w:r>
            <w:t>30</w:t>
          </w:r>
          <w:r>
            <w:fldChar w:fldCharType="end"/>
          </w:r>
          <w:r>
            <w:fldChar w:fldCharType="end"/>
          </w:r>
        </w:p>
        <w:p>
          <w:pPr>
            <w:pStyle w:val="13"/>
            <w:rPr>
              <w:rFonts w:cstheme="minorBidi"/>
              <w14:ligatures w14:val="standardContextual"/>
            </w:rPr>
          </w:pPr>
          <w:r>
            <w:fldChar w:fldCharType="begin"/>
          </w:r>
          <w:r>
            <w:instrText xml:space="preserve"> HYPERLINK \l "_Toc146635387" </w:instrText>
          </w:r>
          <w:r>
            <w:fldChar w:fldCharType="separate"/>
          </w:r>
          <w:r>
            <w:rPr>
              <w:rStyle w:val="22"/>
              <w:rFonts w:ascii="宋体" w:hAnsi="宋体"/>
              <w:bCs/>
              <w:sz w:val="24"/>
            </w:rPr>
            <w:t>附件3</w:t>
          </w:r>
          <w:r>
            <w:tab/>
          </w:r>
          <w:r>
            <w:fldChar w:fldCharType="begin"/>
          </w:r>
          <w:r>
            <w:instrText xml:space="preserve"> PAGEREF _Toc146635387 \h </w:instrText>
          </w:r>
          <w:r>
            <w:fldChar w:fldCharType="separate"/>
          </w:r>
          <w:r>
            <w:t>31</w:t>
          </w:r>
          <w:r>
            <w:fldChar w:fldCharType="end"/>
          </w:r>
          <w:r>
            <w:fldChar w:fldCharType="end"/>
          </w:r>
        </w:p>
        <w:p>
          <w:pPr>
            <w:pStyle w:val="14"/>
            <w:tabs>
              <w:tab w:val="right" w:leader="dot" w:pos="8296"/>
            </w:tabs>
            <w:spacing w:line="596" w:lineRule="exact"/>
            <w:rPr>
              <w:rFonts w:ascii="宋体" w:hAnsi="宋体" w:eastAsia="宋体" w:cstheme="minorBidi"/>
              <w:kern w:val="2"/>
              <w:sz w:val="24"/>
              <w:szCs w:val="24"/>
              <w14:ligatures w14:val="standardContextual"/>
            </w:rPr>
          </w:pPr>
          <w:r>
            <w:fldChar w:fldCharType="begin"/>
          </w:r>
          <w:r>
            <w:instrText xml:space="preserve"> HYPERLINK \l "_Toc146635388" </w:instrText>
          </w:r>
          <w:r>
            <w:fldChar w:fldCharType="separate"/>
          </w:r>
          <w:r>
            <w:rPr>
              <w:rStyle w:val="22"/>
              <w:rFonts w:ascii="宋体" w:hAnsi="宋体" w:eastAsia="宋体"/>
              <w:sz w:val="24"/>
              <w:szCs w:val="24"/>
            </w:rPr>
            <w:t>图    集</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_Toc146635388 \h </w:instrText>
          </w:r>
          <w:r>
            <w:rPr>
              <w:rFonts w:ascii="宋体" w:hAnsi="宋体" w:eastAsia="宋体"/>
              <w:sz w:val="24"/>
              <w:szCs w:val="24"/>
            </w:rPr>
            <w:fldChar w:fldCharType="separate"/>
          </w:r>
          <w:r>
            <w:rPr>
              <w:rFonts w:ascii="宋体" w:hAnsi="宋体" w:eastAsia="宋体"/>
              <w:sz w:val="24"/>
              <w:szCs w:val="24"/>
            </w:rPr>
            <w:t>31</w:t>
          </w:r>
          <w:r>
            <w:rPr>
              <w:rFonts w:ascii="宋体" w:hAnsi="宋体" w:eastAsia="宋体"/>
              <w:sz w:val="24"/>
              <w:szCs w:val="24"/>
            </w:rPr>
            <w:fldChar w:fldCharType="end"/>
          </w:r>
          <w:r>
            <w:rPr>
              <w:rFonts w:ascii="宋体" w:hAnsi="宋体" w:eastAsia="宋体"/>
              <w:sz w:val="24"/>
              <w:szCs w:val="24"/>
            </w:rPr>
            <w:fldChar w:fldCharType="end"/>
          </w:r>
        </w:p>
        <w:p>
          <w:pPr>
            <w:pStyle w:val="10"/>
            <w:rPr>
              <w:rFonts w:cstheme="minorBidi"/>
              <w:kern w:val="2"/>
              <w14:ligatures w14:val="standardContextual"/>
            </w:rPr>
          </w:pPr>
          <w:r>
            <w:fldChar w:fldCharType="begin"/>
          </w:r>
          <w:r>
            <w:instrText xml:space="preserve"> HYPERLINK \l "_Toc146635389" </w:instrText>
          </w:r>
          <w:r>
            <w:fldChar w:fldCharType="separate"/>
          </w:r>
          <w:r>
            <w:rPr>
              <w:rStyle w:val="22"/>
              <w:rFonts w:ascii="宋体" w:hAnsi="宋体" w:eastAsia="宋体"/>
              <w:bCs/>
              <w:sz w:val="24"/>
              <w:szCs w:val="24"/>
            </w:rPr>
            <w:t>附图1：区位分析图</w:t>
          </w:r>
          <w:r>
            <w:tab/>
          </w:r>
          <w:r>
            <w:fldChar w:fldCharType="begin"/>
          </w:r>
          <w:r>
            <w:instrText xml:space="preserve"> PAGEREF _Toc146635389 \h </w:instrText>
          </w:r>
          <w:r>
            <w:fldChar w:fldCharType="separate"/>
          </w:r>
          <w:r>
            <w:t>32</w:t>
          </w:r>
          <w:r>
            <w:fldChar w:fldCharType="end"/>
          </w:r>
          <w:r>
            <w:fldChar w:fldCharType="end"/>
          </w:r>
        </w:p>
        <w:p>
          <w:pPr>
            <w:pStyle w:val="10"/>
            <w:rPr>
              <w:rFonts w:cstheme="minorBidi"/>
              <w:kern w:val="2"/>
              <w14:ligatures w14:val="standardContextual"/>
            </w:rPr>
          </w:pPr>
          <w:r>
            <w:fldChar w:fldCharType="begin"/>
          </w:r>
          <w:r>
            <w:instrText xml:space="preserve"> HYPERLINK \l "_Toc146635390" </w:instrText>
          </w:r>
          <w:r>
            <w:fldChar w:fldCharType="separate"/>
          </w:r>
          <w:r>
            <w:rPr>
              <w:rStyle w:val="22"/>
              <w:rFonts w:ascii="宋体" w:hAnsi="宋体" w:eastAsia="宋体"/>
              <w:bCs/>
              <w:sz w:val="24"/>
              <w:szCs w:val="24"/>
            </w:rPr>
            <w:t>附图2：控制区障碍物高度控制现状图</w:t>
          </w:r>
          <w:r>
            <w:tab/>
          </w:r>
          <w:r>
            <w:fldChar w:fldCharType="begin"/>
          </w:r>
          <w:r>
            <w:instrText xml:space="preserve"> PAGEREF _Toc146635390 \h </w:instrText>
          </w:r>
          <w:r>
            <w:fldChar w:fldCharType="separate"/>
          </w:r>
          <w:r>
            <w:t>33</w:t>
          </w:r>
          <w:r>
            <w:fldChar w:fldCharType="end"/>
          </w:r>
          <w:r>
            <w:fldChar w:fldCharType="end"/>
          </w:r>
        </w:p>
        <w:p>
          <w:pPr>
            <w:pStyle w:val="10"/>
            <w:rPr>
              <w:rFonts w:cstheme="minorBidi"/>
              <w:kern w:val="2"/>
              <w14:ligatures w14:val="standardContextual"/>
            </w:rPr>
          </w:pPr>
          <w:r>
            <w:fldChar w:fldCharType="begin"/>
          </w:r>
          <w:r>
            <w:instrText xml:space="preserve"> HYPERLINK \l "_Toc146635391" </w:instrText>
          </w:r>
          <w:r>
            <w:fldChar w:fldCharType="separate"/>
          </w:r>
          <w:r>
            <w:rPr>
              <w:rStyle w:val="22"/>
              <w:rFonts w:ascii="宋体" w:hAnsi="宋体" w:eastAsia="宋体"/>
              <w:bCs/>
              <w:sz w:val="24"/>
              <w:szCs w:val="24"/>
            </w:rPr>
            <w:t>附图3：与国土空间总体规划分析图</w:t>
          </w:r>
          <w:r>
            <w:tab/>
          </w:r>
          <w:r>
            <w:fldChar w:fldCharType="begin"/>
          </w:r>
          <w:r>
            <w:instrText xml:space="preserve"> PAGEREF _Toc146635391 \h </w:instrText>
          </w:r>
          <w:r>
            <w:fldChar w:fldCharType="separate"/>
          </w:r>
          <w:r>
            <w:t>34</w:t>
          </w:r>
          <w:r>
            <w:fldChar w:fldCharType="end"/>
          </w:r>
          <w:r>
            <w:fldChar w:fldCharType="end"/>
          </w:r>
        </w:p>
        <w:p>
          <w:pPr>
            <w:pStyle w:val="10"/>
            <w:rPr>
              <w:rFonts w:cstheme="minorBidi"/>
              <w:kern w:val="2"/>
              <w14:ligatures w14:val="standardContextual"/>
            </w:rPr>
          </w:pPr>
          <w:r>
            <w:fldChar w:fldCharType="begin"/>
          </w:r>
          <w:r>
            <w:instrText xml:space="preserve"> HYPERLINK \l "_Toc146635392" </w:instrText>
          </w:r>
          <w:r>
            <w:fldChar w:fldCharType="separate"/>
          </w:r>
          <w:r>
            <w:rPr>
              <w:rStyle w:val="22"/>
              <w:rFonts w:ascii="宋体" w:hAnsi="宋体" w:eastAsia="宋体"/>
              <w:bCs/>
              <w:sz w:val="24"/>
              <w:szCs w:val="24"/>
            </w:rPr>
            <w:t>附图4：气象探测环境保护图</w:t>
          </w:r>
          <w:r>
            <w:tab/>
          </w:r>
          <w:r>
            <w:fldChar w:fldCharType="begin"/>
          </w:r>
          <w:r>
            <w:instrText xml:space="preserve"> PAGEREF _Toc146635392 \h </w:instrText>
          </w:r>
          <w:r>
            <w:fldChar w:fldCharType="separate"/>
          </w:r>
          <w:r>
            <w:t>35</w:t>
          </w:r>
          <w:r>
            <w:fldChar w:fldCharType="end"/>
          </w:r>
          <w:r>
            <w:fldChar w:fldCharType="end"/>
          </w:r>
        </w:p>
        <w:p>
          <w:pPr>
            <w:pStyle w:val="10"/>
            <w:rPr>
              <w:rFonts w:cstheme="minorBidi"/>
              <w:kern w:val="2"/>
              <w14:ligatures w14:val="standardContextual"/>
            </w:rPr>
          </w:pPr>
          <w:r>
            <w:fldChar w:fldCharType="begin"/>
          </w:r>
          <w:r>
            <w:instrText xml:space="preserve"> HYPERLINK \l "_Toc146635393" </w:instrText>
          </w:r>
          <w:r>
            <w:fldChar w:fldCharType="separate"/>
          </w:r>
          <w:r>
            <w:rPr>
              <w:rStyle w:val="22"/>
              <w:rFonts w:ascii="宋体" w:hAnsi="宋体" w:eastAsia="宋体"/>
              <w:bCs/>
              <w:sz w:val="24"/>
              <w:szCs w:val="24"/>
            </w:rPr>
            <w:t>附图5：控制区障碍物高度控制图</w:t>
          </w:r>
          <w:r>
            <w:tab/>
          </w:r>
          <w:r>
            <w:fldChar w:fldCharType="begin"/>
          </w:r>
          <w:r>
            <w:instrText xml:space="preserve"> PAGEREF _Toc146635393 \h </w:instrText>
          </w:r>
          <w:r>
            <w:fldChar w:fldCharType="separate"/>
          </w:r>
          <w:r>
            <w:t>36</w:t>
          </w:r>
          <w:r>
            <w:fldChar w:fldCharType="end"/>
          </w:r>
          <w:r>
            <w:fldChar w:fldCharType="end"/>
          </w:r>
        </w:p>
        <w:p>
          <w:pPr>
            <w:pStyle w:val="10"/>
            <w:rPr>
              <w:rFonts w:cstheme="minorBidi"/>
              <w:kern w:val="2"/>
              <w14:ligatures w14:val="standardContextual"/>
            </w:rPr>
          </w:pPr>
          <w:r>
            <w:fldChar w:fldCharType="begin"/>
          </w:r>
          <w:r>
            <w:instrText xml:space="preserve"> HYPERLINK \l "_Toc146635394" </w:instrText>
          </w:r>
          <w:r>
            <w:fldChar w:fldCharType="separate"/>
          </w:r>
          <w:r>
            <w:rPr>
              <w:rStyle w:val="22"/>
              <w:rFonts w:ascii="宋体" w:hAnsi="宋体" w:eastAsia="宋体"/>
              <w:bCs/>
              <w:sz w:val="24"/>
              <w:szCs w:val="24"/>
            </w:rPr>
            <w:t>附图6：日出日落方向障碍物高度控制图</w:t>
          </w:r>
          <w:r>
            <w:tab/>
          </w:r>
          <w:r>
            <w:fldChar w:fldCharType="begin"/>
          </w:r>
          <w:r>
            <w:instrText xml:space="preserve"> PAGEREF _Toc146635394 \h </w:instrText>
          </w:r>
          <w:r>
            <w:fldChar w:fldCharType="separate"/>
          </w:r>
          <w:r>
            <w:t>37</w:t>
          </w:r>
          <w:r>
            <w:fldChar w:fldCharType="end"/>
          </w:r>
          <w:r>
            <w:fldChar w:fldCharType="end"/>
          </w:r>
        </w:p>
        <w:p>
          <w:pPr>
            <w:pStyle w:val="10"/>
            <w:rPr>
              <w:rFonts w:cstheme="minorBidi"/>
              <w:kern w:val="2"/>
              <w14:ligatures w14:val="standardContextual"/>
            </w:rPr>
          </w:pPr>
          <w:r>
            <w:fldChar w:fldCharType="begin"/>
          </w:r>
          <w:r>
            <w:instrText xml:space="preserve"> HYPERLINK \l "_Toc146635395" </w:instrText>
          </w:r>
          <w:r>
            <w:fldChar w:fldCharType="separate"/>
          </w:r>
          <w:r>
            <w:rPr>
              <w:rStyle w:val="22"/>
              <w:rFonts w:ascii="宋体" w:hAnsi="宋体" w:eastAsia="宋体"/>
              <w:bCs/>
              <w:sz w:val="24"/>
              <w:szCs w:val="24"/>
            </w:rPr>
            <w:t>附图7：观测场周边限制规划区示意图</w:t>
          </w:r>
          <w:r>
            <w:tab/>
          </w:r>
          <w:r>
            <w:fldChar w:fldCharType="begin"/>
          </w:r>
          <w:r>
            <w:instrText xml:space="preserve"> PAGEREF _Toc146635395 \h </w:instrText>
          </w:r>
          <w:r>
            <w:fldChar w:fldCharType="separate"/>
          </w:r>
          <w:r>
            <w:t>37</w:t>
          </w:r>
          <w:r>
            <w:fldChar w:fldCharType="end"/>
          </w:r>
          <w:r>
            <w:fldChar w:fldCharType="end"/>
          </w:r>
        </w:p>
        <w:p>
          <w:pPr>
            <w:pStyle w:val="10"/>
            <w:rPr>
              <w:rFonts w:cstheme="minorBidi"/>
              <w:kern w:val="2"/>
              <w14:ligatures w14:val="standardContextual"/>
            </w:rPr>
          </w:pPr>
          <w:r>
            <w:fldChar w:fldCharType="begin"/>
          </w:r>
          <w:r>
            <w:instrText xml:space="preserve"> HYPERLINK \l "_Toc146635396" </w:instrText>
          </w:r>
          <w:r>
            <w:fldChar w:fldCharType="separate"/>
          </w:r>
          <w:r>
            <w:rPr>
              <w:rStyle w:val="22"/>
              <w:rFonts w:ascii="宋体" w:hAnsi="宋体" w:eastAsia="宋体"/>
              <w:bCs/>
              <w:sz w:val="24"/>
              <w:szCs w:val="24"/>
            </w:rPr>
            <w:t>附图8：竖向控制图</w:t>
          </w:r>
          <w:r>
            <w:tab/>
          </w:r>
          <w:r>
            <w:fldChar w:fldCharType="begin"/>
          </w:r>
          <w:r>
            <w:instrText xml:space="preserve"> PAGEREF _Toc146635396 \h </w:instrText>
          </w:r>
          <w:r>
            <w:fldChar w:fldCharType="separate"/>
          </w:r>
          <w:r>
            <w:t>39</w:t>
          </w:r>
          <w:r>
            <w:fldChar w:fldCharType="end"/>
          </w:r>
          <w:r>
            <w:fldChar w:fldCharType="end"/>
          </w:r>
        </w:p>
        <w:p>
          <w:pPr>
            <w:pStyle w:val="10"/>
            <w:rPr>
              <w:rFonts w:cstheme="minorBidi"/>
              <w:kern w:val="2"/>
              <w14:ligatures w14:val="standardContextual"/>
            </w:rPr>
          </w:pPr>
          <w:r>
            <w:fldChar w:fldCharType="begin"/>
          </w:r>
          <w:r>
            <w:instrText xml:space="preserve"> HYPERLINK \l "_Toc146635397" </w:instrText>
          </w:r>
          <w:r>
            <w:fldChar w:fldCharType="separate"/>
          </w:r>
          <w:r>
            <w:rPr>
              <w:rStyle w:val="22"/>
              <w:rFonts w:ascii="宋体" w:hAnsi="宋体" w:eastAsia="宋体"/>
              <w:bCs/>
              <w:sz w:val="24"/>
              <w:szCs w:val="24"/>
            </w:rPr>
            <w:t>附图9：核心保护区范围内规划图则</w:t>
          </w:r>
          <w:r>
            <w:tab/>
          </w:r>
          <w:r>
            <w:fldChar w:fldCharType="begin"/>
          </w:r>
          <w:r>
            <w:instrText xml:space="preserve"> PAGEREF _Toc146635397 \h </w:instrText>
          </w:r>
          <w:r>
            <w:fldChar w:fldCharType="separate"/>
          </w:r>
          <w:r>
            <w:t>40</w:t>
          </w:r>
          <w:r>
            <w:fldChar w:fldCharType="end"/>
          </w:r>
          <w:r>
            <w:fldChar w:fldCharType="end"/>
          </w:r>
        </w:p>
        <w:p>
          <w:pPr>
            <w:tabs>
              <w:tab w:val="left" w:pos="645"/>
            </w:tabs>
            <w:spacing w:line="596" w:lineRule="exact"/>
            <w:rPr>
              <w:rFonts w:ascii="宋体" w:hAnsi="宋体"/>
              <w:sz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0"/>
              <w:cols w:space="425" w:num="1"/>
              <w:titlePg/>
              <w:docGrid w:type="lines" w:linePitch="312" w:charSpace="0"/>
            </w:sectPr>
          </w:pPr>
          <w:r>
            <w:rPr>
              <w:rFonts w:ascii="宋体" w:hAnsi="宋体"/>
              <w:b/>
              <w:bCs/>
              <w:sz w:val="24"/>
              <w:lang w:val="zh-CN"/>
            </w:rPr>
            <w:fldChar w:fldCharType="end"/>
          </w:r>
          <w:r>
            <w:rPr>
              <w:rFonts w:ascii="宋体" w:hAnsi="宋体"/>
              <w:b/>
              <w:bCs/>
              <w:sz w:val="24"/>
              <w:lang w:val="zh-CN"/>
            </w:rPr>
            <w:tab/>
          </w:r>
        </w:p>
      </w:sdtContent>
    </w:sdt>
    <w:p>
      <w:pPr>
        <w:pStyle w:val="16"/>
        <w:numPr>
          <w:ilvl w:val="0"/>
          <w:numId w:val="1"/>
        </w:numPr>
        <w:overflowPunct w:val="0"/>
        <w:topLinePunct/>
        <w:spacing w:before="0" w:after="0" w:line="360" w:lineRule="auto"/>
        <w:jc w:val="center"/>
        <w:rPr>
          <w:rFonts w:ascii="黑体" w:hAnsi="黑体" w:eastAsia="黑体"/>
          <w:b w:val="0"/>
          <w:bCs/>
          <w:szCs w:val="32"/>
        </w:rPr>
      </w:pPr>
      <w:bookmarkStart w:id="1" w:name="_Toc146635360"/>
      <w:r>
        <w:rPr>
          <w:rFonts w:hint="eastAsia" w:ascii="黑体" w:hAnsi="黑体" w:eastAsia="黑体"/>
          <w:b w:val="0"/>
          <w:bCs/>
          <w:szCs w:val="32"/>
        </w:rPr>
        <w:t>临清市概况</w:t>
      </w:r>
      <w:bookmarkEnd w:id="1"/>
    </w:p>
    <w:p/>
    <w:p>
      <w:pPr>
        <w:pStyle w:val="16"/>
        <w:overflowPunct w:val="0"/>
        <w:topLinePunct/>
        <w:spacing w:before="0" w:after="0" w:line="584" w:lineRule="exact"/>
        <w:jc w:val="center"/>
        <w:outlineLvl w:val="1"/>
        <w:rPr>
          <w:rFonts w:ascii="楷体_GB2312" w:eastAsia="楷体_GB2312" w:hAnsiTheme="minorEastAsia"/>
          <w:b w:val="0"/>
          <w:szCs w:val="32"/>
        </w:rPr>
      </w:pPr>
      <w:r>
        <w:fldChar w:fldCharType="begin"/>
      </w:r>
      <w:r>
        <w:instrText xml:space="preserve"> HYPERLINK \l "_Toc217897694" </w:instrText>
      </w:r>
      <w:r>
        <w:fldChar w:fldCharType="separate"/>
      </w:r>
      <w:bookmarkStart w:id="2" w:name="_Toc146635361"/>
      <w:r>
        <w:rPr>
          <w:rFonts w:hint="eastAsia" w:ascii="楷体_GB2312" w:eastAsia="楷体_GB2312" w:hAnsiTheme="minorEastAsia"/>
          <w:b w:val="0"/>
          <w:szCs w:val="32"/>
        </w:rPr>
        <w:t>第一节 自然条件</w:t>
      </w:r>
      <w:bookmarkEnd w:id="2"/>
      <w:r>
        <w:rPr>
          <w:rFonts w:hint="eastAsia" w:ascii="楷体_GB2312" w:eastAsia="楷体_GB2312" w:hAnsiTheme="minorEastAsia"/>
          <w:b w:val="0"/>
          <w:szCs w:val="32"/>
        </w:rPr>
        <w:tab/>
      </w:r>
      <w:r>
        <w:rPr>
          <w:rFonts w:hint="eastAsia" w:ascii="楷体_GB2312" w:eastAsia="楷体_GB2312" w:hAnsiTheme="minorEastAsia"/>
          <w:b w:val="0"/>
          <w:szCs w:val="32"/>
        </w:rPr>
        <w:fldChar w:fldCharType="end"/>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临清市位于山东省西北部，地处东经115°27′至116°02′和北纬36°39′至36°55′之间。东邻</w:t>
      </w:r>
      <w:r>
        <w:fldChar w:fldCharType="begin"/>
      </w:r>
      <w:r>
        <w:instrText xml:space="preserve"> HYPERLINK "https://baike.baidu.com/item/%E9%AB%98%E5%94%90/1687749?fromModule=lemma_inlink" \t "https://baike.baidu.com/item/%E4%B8%B4%E6%B8%85/_blank" </w:instrText>
      </w:r>
      <w:r>
        <w:fldChar w:fldCharType="separate"/>
      </w:r>
      <w:r>
        <w:rPr>
          <w:rFonts w:hint="eastAsia" w:ascii="仿宋_GB2312" w:eastAsia="仿宋_GB2312" w:hAnsiTheme="minorEastAsia"/>
          <w:sz w:val="32"/>
          <w:szCs w:val="32"/>
        </w:rPr>
        <w:t>高唐</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"https://baike.baidu.com/item/%E8%8C%8C%E5%B9%B3/1871930?fromModule=lemma_inlink" \t "https://baike.baidu.com/item/%E4%B8%B4%E6%B8%85/_blank" </w:instrText>
      </w:r>
      <w:r>
        <w:fldChar w:fldCharType="separate"/>
      </w:r>
      <w:r>
        <w:rPr>
          <w:rFonts w:hint="eastAsia" w:ascii="仿宋_GB2312" w:eastAsia="仿宋_GB2312" w:hAnsiTheme="minorEastAsia"/>
          <w:sz w:val="32"/>
          <w:szCs w:val="32"/>
        </w:rPr>
        <w:t>茌平</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，南接</w:t>
      </w:r>
      <w:r>
        <w:fldChar w:fldCharType="begin"/>
      </w:r>
      <w:r>
        <w:instrText xml:space="preserve"> HYPERLINK "https://baike.baidu.com/item/%E8%81%8A%E5%9F%8E/127583?fromModule=lemma_inlink" \t "https://baike.baidu.com/item/%E4%B8%B4%E6%B8%85/_blank" </w:instrText>
      </w:r>
      <w:r>
        <w:fldChar w:fldCharType="separate"/>
      </w:r>
      <w:r>
        <w:rPr>
          <w:rFonts w:hint="eastAsia" w:ascii="仿宋_GB2312" w:eastAsia="仿宋_GB2312" w:hAnsiTheme="minorEastAsia"/>
          <w:sz w:val="32"/>
          <w:szCs w:val="32"/>
        </w:rPr>
        <w:t>聊城</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、冠县，西隔卫运河与河北省</w:t>
      </w:r>
      <w:r>
        <w:fldChar w:fldCharType="begin"/>
      </w:r>
      <w:r>
        <w:instrText xml:space="preserve"> HYPERLINK "https://baike.baidu.com/item/%E4%B8%B4%E8%A5%BF/475401?fromModule=lemma_inlink" \t "https://baike.baidu.com/item/%E4%B8%B4%E6%B8%85/_blank" </w:instrText>
      </w:r>
      <w:r>
        <w:fldChar w:fldCharType="separate"/>
      </w:r>
      <w:r>
        <w:rPr>
          <w:rFonts w:hint="eastAsia" w:ascii="仿宋_GB2312" w:eastAsia="仿宋_GB2312" w:hAnsiTheme="minorEastAsia"/>
          <w:sz w:val="32"/>
          <w:szCs w:val="32"/>
        </w:rPr>
        <w:t>临西</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县相望，北与</w:t>
      </w:r>
      <w:r>
        <w:fldChar w:fldCharType="begin"/>
      </w:r>
      <w:r>
        <w:instrText xml:space="preserve"> HYPERLINK "https://baike.baidu.com/item/%E5%A4%8F%E6%B4%A5/299226?fromModule=lemma_inlink" \t "https://baike.baidu.com/item/%E4%B8%B4%E6%B8%85/_blank" </w:instrText>
      </w:r>
      <w:r>
        <w:fldChar w:fldCharType="separate"/>
      </w:r>
      <w:r>
        <w:rPr>
          <w:rFonts w:hint="eastAsia" w:ascii="仿宋_GB2312" w:eastAsia="仿宋_GB2312" w:hAnsiTheme="minorEastAsia"/>
          <w:sz w:val="32"/>
          <w:szCs w:val="32"/>
        </w:rPr>
        <w:t>夏津</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毗连。全市总面积约960平方公里，境域南北直距25.28公里，东西直距46.73公里，总人口约80万。辖唐园镇、烟店镇、潘庄镇、八岔路镇、刘垓子镇、魏湾镇、康庄镇、老赵庄镇、松林镇、尚店镇、戴湾镇、金郝庄镇12个镇和大辛庄街道、新华路街道、青年路街道、先锋路街道4个街道。</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是京九铁路进入山东省的第一站，京九高铁将在临清设站，2条高速、7条国省道穿境而过；开通了直达青岛港的“临清号”集装箱班列；至新疆乌鲁木齐的快运货物班列“鲁疆号”；至广东大朗的快运货物班列“复兴号”。</w:t>
      </w:r>
    </w:p>
    <w:p>
      <w:pPr>
        <w:overflowPunct w:val="0"/>
        <w:topLinePunct/>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一、地质地貌</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临清市境内为鲁西北平原，属黄河下游冲积平原。地势平坦，起伏较少，地势西南高，东北低，地面高38.29米（黄海），沿黄河故道流向，自西南向东北倾斜。地面坡降为1/7000左右。海拔高程一般在29～38米之间。</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由于历史上黄河多次改道、淤积、决口泛滥，境内形成了岗、坡、洼地相间的微地貌差异。地貌类型有河滩高地，沙质河槽地，决口扇形地，缓平坡地，河间浅平洼地和背河槽状洼地。</w:t>
      </w:r>
    </w:p>
    <w:p>
      <w:pPr>
        <w:overflowPunct w:val="0"/>
        <w:topLinePunct/>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二、气候状况</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市境内地处欧亚大陆东南部的华北平原中部，位于北半球中纬度地区，属较典型的大陆性季风气候。气候温和，降水适中，冬季干冷，春季干燥多风，回暖迅速，夏季湿热多雨，秋季天高气爽。大陆高度64.6%，年干燥度1.9%。由于大气环流的变化异常，也往往出现非定常性的气候变化，使年内的定常性变化产生振动，造成年际间的差异。</w:t>
      </w:r>
    </w:p>
    <w:p>
      <w:pPr>
        <w:pStyle w:val="2"/>
        <w:spacing w:line="584" w:lineRule="exact"/>
        <w:rPr>
          <w:rFonts w:asciiTheme="minorEastAsia" w:hAnsiTheme="minorEastAsia" w:eastAsiaTheme="minorEastAsia"/>
        </w:rPr>
      </w:pPr>
    </w:p>
    <w:p>
      <w:pPr>
        <w:pStyle w:val="16"/>
        <w:overflowPunct w:val="0"/>
        <w:topLinePunct/>
        <w:spacing w:before="0" w:after="0" w:line="584" w:lineRule="exact"/>
        <w:jc w:val="center"/>
        <w:outlineLvl w:val="1"/>
        <w:rPr>
          <w:rFonts w:ascii="楷体_GB2312" w:eastAsia="楷体_GB2312" w:hAnsiTheme="minorEastAsia"/>
          <w:b w:val="0"/>
          <w:szCs w:val="32"/>
        </w:rPr>
      </w:pPr>
      <w:bookmarkStart w:id="3" w:name="_Toc146635362"/>
      <w:r>
        <w:rPr>
          <w:rFonts w:hint="eastAsia" w:ascii="楷体_GB2312" w:eastAsia="楷体_GB2312" w:hAnsiTheme="minorEastAsia"/>
          <w:b w:val="0"/>
          <w:szCs w:val="32"/>
        </w:rPr>
        <w:t>第二节 社会经济</w:t>
      </w:r>
      <w:bookmarkEnd w:id="3"/>
    </w:p>
    <w:p>
      <w:pPr>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一、历史沿革</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临清之名始于后赵，取临近清河之意。 西汉初始建清渊县，先隶巨鹿郡，后属魏郡，三国魏晋属冀州阳平郡。十六国后赵建平元年（330），改清渊置临清县，属司州建兴郡。后废。北魏太和二十一年（497）析清渊县西部复置临清县，属司州阳平郡。北齐废。隋开皇六年（586）复置临清县，属清河郡。 唐大历七年（772）析临清另置永济县，先后属毛州、瀛洲、贝州、清河郡统领。宋代先后属于大名府、兴唐府、广晋府、大名府。 金属大名府路恩州。元属中书省濮州。 明属山东省布政使司东昌府，弘治二年（1489）升为州，辖馆陶、邱县，属东昌府。清顺治元年（1644）不领县。乾隆四十一年（1776）升为直隶州，隶属山东省，辖武城、夏津、邱县。自1840年鸦片战争至1919年辛亥革命推翻帝制的80年间，域境建置无大变化。</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建国后县市分治，属河北省邯郸专署。1952年11月，划归山东省德州专署，12月改属聊城专署。1956年清平县撤销，将其二区（金郝庄）、三（王集）、四区（康盛庄）、五区（戴湾）划归临清县管辖。1958年县市合并，置临清市，属聊城专署。1963年撤市复县。1965年3月将临清县卫运河西的尖冢、童村、下堡寺、吕寨、老官寨五个区划归河北省邢台专区，建临西县。同时将馆陶县的潘庄、八岔路两个区划归临清县。1983撤销临清县，设立临清市（国务院1983年8月30日批准）。</w:t>
      </w:r>
    </w:p>
    <w:p>
      <w:pPr>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二、行政区划与人口</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截至2022年10月，临清市辖12个镇、4个街道：</w:t>
      </w:r>
      <w:r>
        <w:fldChar w:fldCharType="begin"/>
      </w:r>
      <w:r>
        <w:instrText xml:space="preserve"> HYPERLINK "https://baike.baidu.com/item/%E5%94%90%E5%9B%AD%E9%95%87?fromModule=lemma_inlink" \t "https://baike.baidu.com/item/%E4%B8%B4%E6%B8%85%E5%B8%82/_blank" </w:instrText>
      </w:r>
      <w:r>
        <w:fldChar w:fldCharType="separate"/>
      </w:r>
      <w:r>
        <w:rPr>
          <w:rFonts w:hint="eastAsia" w:ascii="仿宋_GB2312" w:eastAsia="仿宋_GB2312" w:hAnsiTheme="minorEastAsia"/>
          <w:sz w:val="32"/>
          <w:szCs w:val="32"/>
        </w:rPr>
        <w:t>唐园镇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"https://baike.baidu.com/item/%E7%83%9F%E5%BA%97%E9%95%87/8592191?fromModule=lemma_inlink" \t "https://baike.baidu.com/item/%E4%B8%B4%E6%B8%85%E5%B8%82/_blank" </w:instrText>
      </w:r>
      <w:r>
        <w:fldChar w:fldCharType="separate"/>
      </w:r>
      <w:r>
        <w:rPr>
          <w:rFonts w:hint="eastAsia" w:ascii="仿宋_GB2312" w:eastAsia="仿宋_GB2312" w:hAnsiTheme="minorEastAsia"/>
          <w:sz w:val="32"/>
          <w:szCs w:val="32"/>
        </w:rPr>
        <w:t>烟店镇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"https://baike.baidu.com/item/%E6%BD%98%E5%BA%84%E9%95%87/3875274?fromModule=lemma_inlink" \t "https://baike.baidu.com/item/%E4%B8%B4%E6%B8%85%E5%B8%82/_blank" </w:instrText>
      </w:r>
      <w:r>
        <w:fldChar w:fldCharType="separate"/>
      </w:r>
      <w:r>
        <w:rPr>
          <w:rFonts w:hint="eastAsia" w:ascii="仿宋_GB2312" w:eastAsia="仿宋_GB2312" w:hAnsiTheme="minorEastAsia"/>
          <w:sz w:val="32"/>
          <w:szCs w:val="32"/>
        </w:rPr>
        <w:t>潘庄镇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"https://baike.baidu.com/item/%E5%85%AB%E5%B2%94%E8%B7%AF%E9%95%87?fromModule=lemma_inlink" \t "https://baike.baidu.com/item/%E4%B8%B4%E6%B8%85%E5%B8%82/_blank" </w:instrText>
      </w:r>
      <w:r>
        <w:fldChar w:fldCharType="separate"/>
      </w:r>
      <w:r>
        <w:rPr>
          <w:rFonts w:hint="eastAsia" w:ascii="仿宋_GB2312" w:eastAsia="仿宋_GB2312" w:hAnsiTheme="minorEastAsia"/>
          <w:sz w:val="32"/>
          <w:szCs w:val="32"/>
        </w:rPr>
        <w:t>八岔路镇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"https://baike.baidu.com/item/%E5%88%98%E5%9E%93%E5%AD%90%E9%95%87?fromModule=lemma_inlink" \t "https://baike.baidu.com/item/%E4%B8%B4%E6%B8%85%E5%B8%82/_blank" </w:instrText>
      </w:r>
      <w:r>
        <w:fldChar w:fldCharType="separate"/>
      </w:r>
      <w:r>
        <w:rPr>
          <w:rFonts w:hint="eastAsia" w:ascii="仿宋_GB2312" w:eastAsia="仿宋_GB2312" w:hAnsiTheme="minorEastAsia"/>
          <w:sz w:val="32"/>
          <w:szCs w:val="32"/>
        </w:rPr>
        <w:t>刘垓子镇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"https://baike.baidu.com/item/%E9%AD%8F%E6%B9%BE%E9%95%87/16282?fromModule=lemma_inlink" \t "https://baike.baidu.com/item/%E4%B8%B4%E6%B8%85%E5%B8%82/_blank" </w:instrText>
      </w:r>
      <w:r>
        <w:fldChar w:fldCharType="separate"/>
      </w:r>
      <w:r>
        <w:rPr>
          <w:rFonts w:hint="eastAsia" w:ascii="仿宋_GB2312" w:eastAsia="仿宋_GB2312" w:hAnsiTheme="minorEastAsia"/>
          <w:sz w:val="32"/>
          <w:szCs w:val="32"/>
        </w:rPr>
        <w:t>魏湾镇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"https://baike.baidu.com/item/%E5%BA%B7%E5%BA%84%E9%95%87/7922402?fromModule=lemma_inlink" \t "https://baike.baidu.com/item/%E4%B8%B4%E6%B8%85%E5%B8%82/_blank" </w:instrText>
      </w:r>
      <w:r>
        <w:fldChar w:fldCharType="separate"/>
      </w:r>
      <w:r>
        <w:rPr>
          <w:rFonts w:hint="eastAsia" w:ascii="仿宋_GB2312" w:eastAsia="仿宋_GB2312" w:hAnsiTheme="minorEastAsia"/>
          <w:sz w:val="32"/>
          <w:szCs w:val="32"/>
        </w:rPr>
        <w:t>康庄镇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"https://baike.baidu.com/item/%E8%80%81%E8%B5%B5%E5%BA%84%E9%95%87?fromModule=lemma_inlink" \t "https://baike.baidu.com/item/%E4%B8%B4%E6%B8%85%E5%B8%82/_blank" </w:instrText>
      </w:r>
      <w:r>
        <w:fldChar w:fldCharType="separate"/>
      </w:r>
      <w:r>
        <w:rPr>
          <w:rFonts w:hint="eastAsia" w:ascii="仿宋_GB2312" w:eastAsia="仿宋_GB2312" w:hAnsiTheme="minorEastAsia"/>
          <w:sz w:val="32"/>
          <w:szCs w:val="32"/>
        </w:rPr>
        <w:t>老赵庄镇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"https://baike.baidu.com/item/%E6%9D%BE%E6%9E%97%E9%95%87/8535060?fromModule=lemma_inlink" \t "https://baike.baidu.com/item/%E4%B8%B4%E6%B8%85%E5%B8%82/_blank" </w:instrText>
      </w:r>
      <w:r>
        <w:fldChar w:fldCharType="separate"/>
      </w:r>
      <w:r>
        <w:rPr>
          <w:rFonts w:hint="eastAsia" w:ascii="仿宋_GB2312" w:eastAsia="仿宋_GB2312" w:hAnsiTheme="minorEastAsia"/>
          <w:sz w:val="32"/>
          <w:szCs w:val="32"/>
        </w:rPr>
        <w:t>松林镇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"https://baike.baidu.com/item/%E5%B0%9A%E5%BA%97%E9%95%87/16857234?fromModule=lemma_inlink" \t "https://baike.baidu.com/item/%E4%B8%B4%E6%B8%85%E5%B8%82/_blank" </w:instrText>
      </w:r>
      <w:r>
        <w:fldChar w:fldCharType="separate"/>
      </w:r>
      <w:r>
        <w:rPr>
          <w:rFonts w:hint="eastAsia" w:ascii="仿宋_GB2312" w:eastAsia="仿宋_GB2312" w:hAnsiTheme="minorEastAsia"/>
          <w:sz w:val="32"/>
          <w:szCs w:val="32"/>
        </w:rPr>
        <w:t>尚店镇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、戴湾镇、</w:t>
      </w:r>
      <w:r>
        <w:fldChar w:fldCharType="begin"/>
      </w:r>
      <w:r>
        <w:instrText xml:space="preserve"> HYPERLINK "https://baike.baidu.com/item/%E9%87%91%E9%83%9D%E5%BA%84%E9%95%87?fromModule=lemma_inlink" \t "https://baike.baidu.com/item/%E4%B8%B4%E6%B8%85%E5%B8%82/_blank" </w:instrText>
      </w:r>
      <w:r>
        <w:fldChar w:fldCharType="separate"/>
      </w:r>
      <w:r>
        <w:rPr>
          <w:rFonts w:hint="eastAsia" w:ascii="仿宋_GB2312" w:eastAsia="仿宋_GB2312" w:hAnsiTheme="minorEastAsia"/>
          <w:sz w:val="32"/>
          <w:szCs w:val="32"/>
        </w:rPr>
        <w:t>金郝庄镇</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"https://baike.baidu.com/item/%E5%A4%A7%E8%BE%9B%E5%BA%84%E8%A1%97%E9%81%93/3929666?fromModule=lemma_inlink" \t "https://baike.baidu.com/item/%E4%B8%B4%E6%B8%85%E5%B8%82/_blank" </w:instrText>
      </w:r>
      <w:r>
        <w:fldChar w:fldCharType="separate"/>
      </w:r>
      <w:r>
        <w:rPr>
          <w:rFonts w:hint="eastAsia" w:ascii="仿宋_GB2312" w:eastAsia="仿宋_GB2312" w:hAnsiTheme="minorEastAsia"/>
          <w:sz w:val="32"/>
          <w:szCs w:val="32"/>
        </w:rPr>
        <w:t>大辛庄街道</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、新华路街道、</w:t>
      </w:r>
      <w:r>
        <w:fldChar w:fldCharType="begin"/>
      </w:r>
      <w:r>
        <w:instrText xml:space="preserve"> HYPERLINK "https://baike.baidu.com/item/%E9%9D%92%E5%B9%B4%E8%B7%AF%E8%A1%97%E9%81%93/13018332?fromModule=lemma_inlink" \t "https://baike.baidu.com/item/%E4%B8%B4%E6%B8%85%E5%B8%82/_blank" </w:instrText>
      </w:r>
      <w:r>
        <w:fldChar w:fldCharType="separate"/>
      </w:r>
      <w:r>
        <w:rPr>
          <w:rFonts w:hint="eastAsia" w:ascii="仿宋_GB2312" w:eastAsia="仿宋_GB2312" w:hAnsiTheme="minorEastAsia"/>
          <w:sz w:val="32"/>
          <w:szCs w:val="32"/>
        </w:rPr>
        <w:t>青年路街道</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w:t>
      </w:r>
      <w:r>
        <w:fldChar w:fldCharType="begin"/>
      </w:r>
      <w:r>
        <w:instrText xml:space="preserve"> HYPERLINK "https://baike.baidu.com/item/%E5%85%88%E9%94%8B%E8%B7%AF%E8%A1%97%E9%81%93/6006914?fromModule=lemma_inlink" \t "https://baike.baidu.com/item/%E4%B8%B4%E6%B8%85%E5%B8%82/_blank" </w:instrText>
      </w:r>
      <w:r>
        <w:fldChar w:fldCharType="separate"/>
      </w:r>
      <w:r>
        <w:rPr>
          <w:rFonts w:hint="eastAsia" w:ascii="仿宋_GB2312" w:eastAsia="仿宋_GB2312" w:hAnsiTheme="minorEastAsia"/>
          <w:sz w:val="32"/>
          <w:szCs w:val="32"/>
        </w:rPr>
        <w:t>先锋路街道</w:t>
      </w:r>
      <w:r>
        <w:rPr>
          <w:rFonts w:hint="eastAsia" w:ascii="仿宋_GB2312" w:eastAsia="仿宋_GB2312" w:hAnsiTheme="minorEastAsia"/>
          <w:sz w:val="32"/>
          <w:szCs w:val="32"/>
        </w:rPr>
        <w:fldChar w:fldCharType="end"/>
      </w:r>
      <w:r>
        <w:rPr>
          <w:rFonts w:hint="eastAsia" w:ascii="仿宋_GB2312" w:eastAsia="仿宋_GB2312" w:hAnsiTheme="minorEastAsia"/>
          <w:sz w:val="32"/>
          <w:szCs w:val="32"/>
        </w:rPr>
        <w:t>。总人口约80万。</w:t>
      </w:r>
    </w:p>
    <w:p>
      <w:pPr>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三、经济发展</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2021年，临清市生产总值为269.27亿元，同比增长8.3%。其中，第一产业增加值为34.51亿元，同比增长7.5%；第二产业增加值为98.03亿元，同比增长10.0%；第三产业增加值为136.73亿元，同比增长7.3%。三产结构调整为12.8:36.4:50.8。</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2021年，临清市固定资产投资同比增长21.7%。其中：民间投资占全部投资的比重达到64.6%，四新投资占比提高9.6个百分点，高技术产业投资占全部投资的比重达到5.2%；制造业技改投资同比增长53.7%。</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2021年，临清市一般公共预算收入完成202592万元，占年度预算的100.15%，同比增长6.15%，增收11746万元。其中：税收收入完成150389万元，占年度预算的103.25%，同比增长17.75%，增收22665万元；非税收入完成52203万元，占年度预算的92.16%，同比下降17.30%，减收10919万元。全市一般公共预算支出422730万元，占年度调整预算的95.45%，同比增长0.41%，增支1723万元。</w:t>
      </w:r>
    </w:p>
    <w:p>
      <w:pPr>
        <w:pStyle w:val="2"/>
        <w:spacing w:line="584" w:lineRule="exact"/>
        <w:rPr>
          <w:rFonts w:asciiTheme="minorEastAsia" w:hAnsiTheme="minorEastAsia" w:eastAsiaTheme="minorEastAsia"/>
        </w:rPr>
      </w:pPr>
    </w:p>
    <w:p>
      <w:pPr>
        <w:pStyle w:val="16"/>
        <w:overflowPunct w:val="0"/>
        <w:topLinePunct/>
        <w:spacing w:before="0" w:after="0" w:line="584" w:lineRule="exact"/>
        <w:jc w:val="center"/>
        <w:outlineLvl w:val="1"/>
        <w:rPr>
          <w:rFonts w:ascii="楷体_GB2312" w:eastAsia="楷体_GB2312" w:hAnsiTheme="minorEastAsia"/>
          <w:b w:val="0"/>
          <w:szCs w:val="32"/>
        </w:rPr>
      </w:pPr>
      <w:bookmarkStart w:id="4" w:name="_Toc146635363"/>
      <w:r>
        <w:rPr>
          <w:rFonts w:hint="eastAsia" w:ascii="楷体_GB2312" w:eastAsia="楷体_GB2312" w:hAnsiTheme="minorEastAsia"/>
          <w:b w:val="0"/>
          <w:szCs w:val="32"/>
        </w:rPr>
        <w:t>第三节  国土空间总体规划</w:t>
      </w:r>
      <w:bookmarkEnd w:id="4"/>
    </w:p>
    <w:p>
      <w:pPr>
        <w:spacing w:line="584" w:lineRule="exact"/>
        <w:ind w:left="479" w:leftChars="228"/>
        <w:rPr>
          <w:rFonts w:cs="宋体" w:asciiTheme="minorEastAsia" w:hAnsiTheme="minorEastAsia" w:eastAsiaTheme="minorEastAsia"/>
          <w:b/>
          <w:bCs/>
          <w:sz w:val="24"/>
        </w:rPr>
      </w:pPr>
    </w:p>
    <w:p>
      <w:pPr>
        <w:spacing w:line="584" w:lineRule="exact"/>
        <w:ind w:firstLine="642" w:firstLineChars="200"/>
        <w:rPr>
          <w:rFonts w:ascii="仿宋_GB2312" w:eastAsia="仿宋_GB2312" w:hAnsiTheme="minorEastAsia"/>
          <w:sz w:val="32"/>
          <w:szCs w:val="32"/>
        </w:rPr>
      </w:pPr>
      <w:r>
        <w:rPr>
          <w:rFonts w:hint="eastAsia" w:ascii="楷体_GB2312" w:eastAsia="楷体_GB2312" w:cs="宋体" w:hAnsiTheme="minorEastAsia"/>
          <w:b/>
          <w:bCs/>
          <w:color w:val="333333"/>
          <w:sz w:val="32"/>
          <w:szCs w:val="32"/>
          <w:shd w:val="clear" w:color="auto" w:fill="FFFFFF"/>
        </w:rPr>
        <w:t>一、优化城市空间结构。</w:t>
      </w:r>
      <w:r>
        <w:rPr>
          <w:rFonts w:hint="eastAsia" w:ascii="仿宋_GB2312" w:eastAsia="仿宋_GB2312" w:hAnsiTheme="minorEastAsia"/>
          <w:sz w:val="32"/>
          <w:szCs w:val="32"/>
        </w:rPr>
        <w:t>形成“一带、二轴、四心、六区”的城市空间布局结构。一带：济津河生态绿带；二轴：永青路、温泉路两条城市发展轴；四心：商业中心、公共服务中心、商务中心、物流中心；六区：古城区、旧城区、新城区、 经济开发区、高铁新区、港产城融合起步区。</w:t>
      </w:r>
    </w:p>
    <w:p>
      <w:pPr>
        <w:spacing w:line="584" w:lineRule="exact"/>
        <w:ind w:firstLine="642" w:firstLineChars="200"/>
        <w:rPr>
          <w:rFonts w:ascii="楷体_GB2312" w:eastAsia="楷体_GB2312" w:cs="宋体" w:hAnsiTheme="minorEastAsia"/>
          <w:color w:val="333333"/>
          <w:sz w:val="32"/>
          <w:szCs w:val="32"/>
          <w:shd w:val="clear" w:color="auto" w:fill="FFFFFF"/>
        </w:rPr>
      </w:pPr>
      <w:r>
        <w:rPr>
          <w:rFonts w:hint="eastAsia" w:ascii="楷体_GB2312" w:eastAsia="楷体_GB2312" w:cs="宋体" w:hAnsiTheme="minorEastAsia"/>
          <w:b/>
          <w:bCs/>
          <w:color w:val="333333"/>
          <w:sz w:val="32"/>
          <w:szCs w:val="32"/>
          <w:shd w:val="clear" w:color="auto" w:fill="FFFFFF"/>
        </w:rPr>
        <w:t>二、提高居住空间品质。</w:t>
      </w:r>
      <w:r>
        <w:rPr>
          <w:rFonts w:hint="eastAsia" w:ascii="仿宋_GB2312" w:eastAsia="仿宋_GB2312" w:hAnsiTheme="minorEastAsia"/>
          <w:sz w:val="32"/>
          <w:szCs w:val="32"/>
        </w:rPr>
        <w:t>提升居住住房建设品质，优化城中村和旧区的环境；补齐公共服务设施短板，打造城市十五分钟生活圈; 加强生活圈分级配套，提供高品质生活服务。</w:t>
      </w:r>
    </w:p>
    <w:p>
      <w:pPr>
        <w:spacing w:line="584" w:lineRule="exact"/>
        <w:ind w:firstLine="642" w:firstLineChars="200"/>
        <w:rPr>
          <w:rFonts w:ascii="仿宋_GB2312" w:eastAsia="仿宋_GB2312" w:hAnsiTheme="minorEastAsia"/>
          <w:sz w:val="32"/>
          <w:szCs w:val="32"/>
        </w:rPr>
      </w:pPr>
      <w:r>
        <w:rPr>
          <w:rFonts w:hint="eastAsia" w:ascii="楷体_GB2312" w:eastAsia="楷体_GB2312" w:cs="宋体" w:hAnsiTheme="minorEastAsia"/>
          <w:b/>
          <w:bCs/>
          <w:color w:val="333333"/>
          <w:sz w:val="32"/>
          <w:szCs w:val="32"/>
          <w:shd w:val="clear" w:color="auto" w:fill="FFFFFF"/>
        </w:rPr>
        <w:t>三、打造特色城市风貌。</w:t>
      </w:r>
      <w:r>
        <w:rPr>
          <w:rFonts w:hint="eastAsia" w:ascii="仿宋_GB2312" w:eastAsia="仿宋_GB2312" w:hAnsiTheme="minorEastAsia"/>
          <w:sz w:val="32"/>
          <w:szCs w:val="32"/>
        </w:rPr>
        <w:t>打造“一带、二轴、四片、六线、二十点”的城市特色风貌格局。一带：以运河为基础的城市历史风貌景观带；二轴：永青路城市发展景观轴、温泉路时代风貌景观轴；四片：历史城区、新城核心区、高铁站周边片区、火车站周边片区；六线：先锋路、红星路、文化路、新华路、三和路、兴临路六条城市道路景观线；二十点：临清古十景、新十景（暂定）。</w:t>
      </w:r>
    </w:p>
    <w:p>
      <w:pPr>
        <w:spacing w:line="584" w:lineRule="exact"/>
        <w:ind w:firstLine="642" w:firstLineChars="200"/>
        <w:rPr>
          <w:rFonts w:ascii="仿宋_GB2312" w:eastAsia="仿宋_GB2312" w:hAnsiTheme="minorEastAsia"/>
          <w:sz w:val="32"/>
          <w:szCs w:val="32"/>
        </w:rPr>
      </w:pPr>
      <w:r>
        <w:rPr>
          <w:rFonts w:hint="eastAsia" w:ascii="楷体_GB2312" w:eastAsia="楷体_GB2312" w:cs="宋体" w:hAnsiTheme="minorEastAsia"/>
          <w:b/>
          <w:bCs/>
          <w:color w:val="333333"/>
          <w:sz w:val="32"/>
          <w:szCs w:val="32"/>
          <w:shd w:val="clear" w:color="auto" w:fill="FFFFFF"/>
        </w:rPr>
        <w:t>四、挖潜城市更新存量。</w:t>
      </w:r>
      <w:r>
        <w:rPr>
          <w:rFonts w:hint="eastAsia" w:ascii="仿宋_GB2312" w:eastAsia="仿宋_GB2312" w:hAnsiTheme="minorEastAsia"/>
          <w:sz w:val="32"/>
          <w:szCs w:val="32"/>
        </w:rPr>
        <w:t>采用六大更新改造策略，优化功能布局，增补服务设施。产业转型：规划因地制宜，搭建产业空间；空间调整：优化功能布局，增补服务设施；环境更新：提升生态标准，塑造活力空间；完善配套：同步公服配套，保障更新品质；交通改善：整合交通体系，构建畅通城区；文脉保护：彰显历史文脉，打造文化名片。</w:t>
      </w:r>
    </w:p>
    <w:p>
      <w:pPr>
        <w:widowControl/>
        <w:spacing w:line="584" w:lineRule="exact"/>
        <w:jc w:val="left"/>
        <w:rPr>
          <w:rFonts w:ascii="仿宋_GB2312" w:eastAsia="仿宋_GB2312" w:hAnsiTheme="minorEastAsia"/>
          <w:sz w:val="32"/>
          <w:szCs w:val="32"/>
        </w:rPr>
      </w:pPr>
      <w:r>
        <w:rPr>
          <w:rFonts w:ascii="仿宋_GB2312" w:eastAsia="仿宋_GB2312" w:hAnsiTheme="minorEastAsia"/>
          <w:sz w:val="32"/>
          <w:szCs w:val="32"/>
        </w:rPr>
        <w:br w:type="page"/>
      </w:r>
    </w:p>
    <w:p>
      <w:pPr>
        <w:pStyle w:val="16"/>
        <w:overflowPunct w:val="0"/>
        <w:topLinePunct/>
        <w:spacing w:before="0" w:after="0" w:line="584" w:lineRule="exact"/>
        <w:ind w:firstLine="422"/>
        <w:jc w:val="center"/>
        <w:rPr>
          <w:rFonts w:ascii="黑体" w:hAnsi="黑体" w:eastAsia="黑体"/>
          <w:b w:val="0"/>
          <w:szCs w:val="32"/>
        </w:rPr>
      </w:pPr>
      <w:bookmarkStart w:id="5" w:name="_Toc146635364"/>
      <w:bookmarkStart w:id="6" w:name="_Toc135917278"/>
      <w:r>
        <w:rPr>
          <w:rFonts w:hint="eastAsia" w:ascii="黑体" w:hAnsi="黑体" w:eastAsia="黑体"/>
          <w:b w:val="0"/>
          <w:szCs w:val="32"/>
        </w:rPr>
        <w:t>第二章  规划指导思想和原则</w:t>
      </w:r>
      <w:bookmarkEnd w:id="5"/>
      <w:bookmarkEnd w:id="6"/>
    </w:p>
    <w:p>
      <w:pPr>
        <w:spacing w:line="584" w:lineRule="exact"/>
        <w:rPr>
          <w:rFonts w:asciiTheme="minorEastAsia" w:hAnsiTheme="minorEastAsia" w:eastAsiaTheme="minorEastAsia"/>
        </w:rPr>
      </w:pPr>
      <w:bookmarkStart w:id="7" w:name="_Toc207429692"/>
      <w:bookmarkStart w:id="8" w:name="_Toc217208381"/>
      <w:bookmarkStart w:id="9" w:name="_Toc135917279"/>
    </w:p>
    <w:p>
      <w:pPr>
        <w:pStyle w:val="16"/>
        <w:numPr>
          <w:ilvl w:val="0"/>
          <w:numId w:val="2"/>
        </w:numPr>
        <w:overflowPunct w:val="0"/>
        <w:topLinePunct/>
        <w:spacing w:before="0" w:after="0" w:line="584" w:lineRule="exact"/>
        <w:jc w:val="center"/>
        <w:outlineLvl w:val="1"/>
        <w:rPr>
          <w:rFonts w:ascii="楷体_GB2312" w:eastAsia="楷体_GB2312" w:hAnsiTheme="minorEastAsia"/>
          <w:b w:val="0"/>
          <w:szCs w:val="32"/>
        </w:rPr>
      </w:pPr>
      <w:bookmarkStart w:id="10" w:name="_Toc146635365"/>
      <w:r>
        <w:rPr>
          <w:rFonts w:hint="eastAsia" w:ascii="楷体_GB2312" w:eastAsia="楷体_GB2312" w:hAnsiTheme="minorEastAsia"/>
          <w:b w:val="0"/>
          <w:szCs w:val="32"/>
        </w:rPr>
        <w:t>指导思想</w:t>
      </w:r>
      <w:bookmarkEnd w:id="7"/>
      <w:bookmarkEnd w:id="8"/>
      <w:bookmarkEnd w:id="9"/>
      <w:bookmarkEnd w:id="10"/>
    </w:p>
    <w:p>
      <w:pPr>
        <w:spacing w:line="584" w:lineRule="exact"/>
        <w:rPr>
          <w:rFonts w:asciiTheme="minorEastAsia" w:hAnsiTheme="minorEastAsia" w:eastAsiaTheme="minorEastAsia"/>
        </w:rPr>
      </w:pPr>
    </w:p>
    <w:p>
      <w:pPr>
        <w:spacing w:line="584" w:lineRule="exact"/>
        <w:ind w:firstLine="640" w:firstLineChars="20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依法保护气象探测环境，确保气象探测资料具有代表性、准确性、比较性和连续性，为应对气候变化和气象防灾减灾提供准确的气象依据，为国民经济发展和人民生活做好气象服务保障，促进经济社会全面协调可持续发展。</w:t>
      </w:r>
    </w:p>
    <w:p>
      <w:pPr>
        <w:pStyle w:val="2"/>
        <w:spacing w:line="584" w:lineRule="exact"/>
        <w:rPr>
          <w:rFonts w:asciiTheme="minorEastAsia" w:hAnsiTheme="minorEastAsia" w:eastAsiaTheme="minorEastAsia"/>
        </w:rPr>
      </w:pPr>
    </w:p>
    <w:p>
      <w:pPr>
        <w:pStyle w:val="16"/>
        <w:numPr>
          <w:ilvl w:val="0"/>
          <w:numId w:val="2"/>
        </w:numPr>
        <w:overflowPunct w:val="0"/>
        <w:topLinePunct/>
        <w:spacing w:before="0" w:after="0" w:line="584" w:lineRule="exact"/>
        <w:jc w:val="center"/>
        <w:outlineLvl w:val="1"/>
        <w:rPr>
          <w:rFonts w:ascii="楷体_GB2312" w:eastAsia="楷体_GB2312" w:hAnsiTheme="minorEastAsia"/>
          <w:b w:val="0"/>
          <w:szCs w:val="32"/>
        </w:rPr>
      </w:pPr>
      <w:bookmarkStart w:id="11" w:name="_Toc146635366"/>
      <w:r>
        <w:rPr>
          <w:rFonts w:hint="eastAsia" w:ascii="楷体_GB2312" w:eastAsia="楷体_GB2312" w:hAnsiTheme="minorEastAsia"/>
          <w:b w:val="0"/>
          <w:szCs w:val="32"/>
        </w:rPr>
        <w:t>主要原则</w:t>
      </w:r>
      <w:bookmarkEnd w:id="11"/>
    </w:p>
    <w:p>
      <w:pPr>
        <w:spacing w:line="584" w:lineRule="exact"/>
        <w:rPr>
          <w:rFonts w:asciiTheme="minorEastAsia" w:hAnsiTheme="minorEastAsia" w:eastAsiaTheme="minorEastAsia"/>
        </w:rPr>
      </w:pPr>
    </w:p>
    <w:p>
      <w:pPr>
        <w:pStyle w:val="28"/>
        <w:numPr>
          <w:ilvl w:val="0"/>
          <w:numId w:val="3"/>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国土空间总体规划与气象探测环境保护相统一的原则，实现城乡建设与气象探测环境保护协调发展；</w:t>
      </w:r>
    </w:p>
    <w:p>
      <w:pPr>
        <w:pStyle w:val="28"/>
        <w:numPr>
          <w:ilvl w:val="0"/>
          <w:numId w:val="3"/>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严格执行各项技术标准的原则；</w:t>
      </w:r>
    </w:p>
    <w:p>
      <w:pPr>
        <w:pStyle w:val="28"/>
        <w:numPr>
          <w:ilvl w:val="0"/>
          <w:numId w:val="3"/>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立足现状，进一步协调优化周边用地及环境的原则；</w:t>
      </w:r>
    </w:p>
    <w:p>
      <w:pPr>
        <w:pStyle w:val="28"/>
        <w:numPr>
          <w:ilvl w:val="0"/>
          <w:numId w:val="3"/>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经济合理的原则。</w:t>
      </w:r>
    </w:p>
    <w:p>
      <w:pPr>
        <w:spacing w:line="584" w:lineRule="exact"/>
        <w:ind w:firstLine="562" w:firstLineChars="200"/>
        <w:jc w:val="center"/>
        <w:rPr>
          <w:rFonts w:cs="宋体" w:asciiTheme="minorEastAsia" w:hAnsiTheme="minorEastAsia" w:eastAsiaTheme="minorEastAsia"/>
          <w:b/>
          <w:bCs/>
          <w:sz w:val="28"/>
          <w:szCs w:val="28"/>
        </w:rPr>
      </w:pPr>
    </w:p>
    <w:p>
      <w:pPr>
        <w:pStyle w:val="28"/>
        <w:numPr>
          <w:ilvl w:val="0"/>
          <w:numId w:val="2"/>
        </w:numPr>
        <w:spacing w:line="584" w:lineRule="exact"/>
        <w:ind w:firstLineChars="0"/>
        <w:jc w:val="center"/>
        <w:rPr>
          <w:rFonts w:ascii="楷体_GB2312" w:eastAsia="楷体_GB2312" w:cs="宋体" w:hAnsiTheme="minorEastAsia"/>
          <w:sz w:val="28"/>
          <w:szCs w:val="28"/>
        </w:rPr>
      </w:pPr>
      <w:r>
        <w:rPr>
          <w:rFonts w:hint="eastAsia" w:ascii="楷体_GB2312" w:eastAsia="楷体_GB2312" w:cs="宋体" w:hAnsiTheme="minorEastAsia"/>
          <w:sz w:val="28"/>
          <w:szCs w:val="28"/>
        </w:rPr>
        <w:t>规划依据</w:t>
      </w:r>
    </w:p>
    <w:p>
      <w:pPr>
        <w:spacing w:line="584" w:lineRule="exact"/>
        <w:rPr>
          <w:rFonts w:asciiTheme="minorEastAsia" w:hAnsiTheme="minorEastAsia" w:eastAsiaTheme="minorEastAsia"/>
        </w:rPr>
      </w:pP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《中华人民共和国气象法》（2016年修订）</w:t>
      </w: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《中华人民共和国城乡规划法》（2019年修订）</w:t>
      </w: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《气象设施和气象探测环境保护条例》（2016年2月修订）</w:t>
      </w: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《山东省气象设施和气象探测环境保护条例》(2014年11月)</w:t>
      </w: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《山东省气象管理办法》（2004年3月）</w:t>
      </w:r>
    </w:p>
    <w:p>
      <w:pPr>
        <w:pStyle w:val="28"/>
        <w:numPr>
          <w:ilvl w:val="0"/>
          <w:numId w:val="4"/>
        </w:numPr>
        <w:spacing w:line="584" w:lineRule="exact"/>
        <w:ind w:left="0" w:firstLine="640"/>
        <w:rPr>
          <w:rFonts w:ascii="仿宋_GB2312" w:eastAsia="仿宋_GB2312" w:hAnsiTheme="minorEastAsia"/>
          <w:sz w:val="32"/>
          <w:szCs w:val="32"/>
        </w:rPr>
      </w:pPr>
      <w:r>
        <w:rPr>
          <w:rFonts w:hint="eastAsia" w:ascii="仿宋_GB2312" w:eastAsia="仿宋_GB2312" w:hAnsiTheme="minorEastAsia"/>
          <w:sz w:val="32"/>
          <w:szCs w:val="32"/>
        </w:rPr>
        <w:t>《山东省气象灾害防御条例》（2022年3月）</w:t>
      </w: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《气象探测环境保护规范 地面气象观测站》（GB31221-2014）</w:t>
      </w: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《城市规划编制办法》（2006年4月）</w:t>
      </w: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在编的《临清市国土空间总体规划》（2021-2035年）</w:t>
      </w:r>
    </w:p>
    <w:p>
      <w:pPr>
        <w:pStyle w:val="28"/>
        <w:numPr>
          <w:ilvl w:val="0"/>
          <w:numId w:val="4"/>
        </w:numPr>
        <w:spacing w:line="584" w:lineRule="exact"/>
        <w:ind w:left="0" w:firstLine="640"/>
        <w:rPr>
          <w:rFonts w:ascii="仿宋_GB2312" w:eastAsia="仿宋_GB2312" w:cs="宋体" w:hAnsiTheme="minorEastAsia"/>
          <w:color w:val="333333"/>
          <w:sz w:val="32"/>
          <w:szCs w:val="32"/>
          <w:shd w:val="clear" w:color="auto" w:fill="FFFFFF"/>
        </w:rPr>
      </w:pPr>
      <w:r>
        <w:rPr>
          <w:rFonts w:hint="eastAsia" w:ascii="仿宋_GB2312" w:eastAsia="仿宋_GB2312" w:cs="宋体" w:hAnsiTheme="minorEastAsia"/>
          <w:color w:val="333333"/>
          <w:sz w:val="32"/>
          <w:szCs w:val="32"/>
          <w:shd w:val="clear" w:color="auto" w:fill="FFFFFF"/>
        </w:rPr>
        <w:t>其他有关法律法规、技术规范</w:t>
      </w:r>
    </w:p>
    <w:p>
      <w:pPr>
        <w:pStyle w:val="2"/>
        <w:spacing w:line="584" w:lineRule="exact"/>
        <w:ind w:left="0" w:leftChars="0" w:firstLine="0" w:firstLineChars="0"/>
        <w:rPr>
          <w:rFonts w:asciiTheme="minorEastAsia" w:hAnsiTheme="minorEastAsia" w:eastAsiaTheme="minorEastAsia"/>
        </w:rPr>
      </w:pPr>
    </w:p>
    <w:p>
      <w:pPr>
        <w:pStyle w:val="4"/>
        <w:spacing w:line="584" w:lineRule="exact"/>
        <w:rPr>
          <w:rFonts w:asciiTheme="minorEastAsia" w:hAnsiTheme="minorEastAsia" w:eastAsiaTheme="minorEastAsia"/>
        </w:rPr>
      </w:pPr>
    </w:p>
    <w:p>
      <w:pPr>
        <w:widowControl/>
        <w:spacing w:line="584" w:lineRule="exact"/>
        <w:jc w:val="left"/>
        <w:rPr>
          <w:rFonts w:asciiTheme="minorEastAsia" w:hAnsiTheme="minorEastAsia" w:eastAsiaTheme="minorEastAsia"/>
          <w:kern w:val="0"/>
        </w:rPr>
      </w:pPr>
      <w:r>
        <w:rPr>
          <w:rFonts w:asciiTheme="minorEastAsia" w:hAnsiTheme="minorEastAsia" w:eastAsiaTheme="minorEastAsia"/>
        </w:rPr>
        <w:br w:type="page"/>
      </w:r>
    </w:p>
    <w:p>
      <w:pPr>
        <w:pStyle w:val="16"/>
        <w:overflowPunct w:val="0"/>
        <w:topLinePunct/>
        <w:spacing w:before="0" w:after="0" w:line="584" w:lineRule="exact"/>
        <w:ind w:firstLine="422"/>
        <w:jc w:val="center"/>
        <w:rPr>
          <w:rFonts w:ascii="黑体" w:hAnsi="黑体" w:eastAsia="黑体"/>
          <w:b w:val="0"/>
          <w:szCs w:val="32"/>
        </w:rPr>
      </w:pPr>
      <w:bookmarkStart w:id="12" w:name="_Toc135917282"/>
      <w:bookmarkStart w:id="13" w:name="_Toc146635367"/>
      <w:r>
        <w:rPr>
          <w:rFonts w:hint="eastAsia" w:ascii="黑体" w:hAnsi="黑体" w:eastAsia="黑体"/>
          <w:b w:val="0"/>
          <w:szCs w:val="32"/>
        </w:rPr>
        <w:t>第三章  规划内容</w:t>
      </w:r>
      <w:bookmarkEnd w:id="12"/>
      <w:bookmarkEnd w:id="13"/>
    </w:p>
    <w:p>
      <w:pPr>
        <w:spacing w:line="584" w:lineRule="exact"/>
        <w:rPr>
          <w:rFonts w:asciiTheme="minorEastAsia" w:hAnsiTheme="minorEastAsia" w:eastAsiaTheme="minorEastAsia"/>
        </w:rPr>
      </w:pPr>
      <w:bookmarkStart w:id="14" w:name="_Toc217208384"/>
      <w:bookmarkStart w:id="15" w:name="_Toc207429696"/>
      <w:bookmarkStart w:id="16" w:name="_Toc135917283"/>
    </w:p>
    <w:p>
      <w:pPr>
        <w:pStyle w:val="16"/>
        <w:numPr>
          <w:ilvl w:val="0"/>
          <w:numId w:val="5"/>
        </w:numPr>
        <w:overflowPunct w:val="0"/>
        <w:topLinePunct/>
        <w:spacing w:before="0" w:after="0" w:line="584" w:lineRule="exact"/>
        <w:jc w:val="center"/>
        <w:outlineLvl w:val="1"/>
        <w:rPr>
          <w:rFonts w:ascii="楷体_GB2312" w:eastAsia="楷体_GB2312" w:hAnsiTheme="minorEastAsia"/>
          <w:b w:val="0"/>
          <w:szCs w:val="32"/>
        </w:rPr>
      </w:pPr>
      <w:bookmarkStart w:id="17" w:name="_Toc146635368"/>
      <w:r>
        <w:rPr>
          <w:rFonts w:hint="eastAsia" w:ascii="楷体_GB2312" w:eastAsia="楷体_GB2312" w:hAnsiTheme="minorEastAsia"/>
          <w:b w:val="0"/>
          <w:szCs w:val="32"/>
        </w:rPr>
        <w:t>规划目标和主要任务</w:t>
      </w:r>
      <w:bookmarkEnd w:id="14"/>
      <w:bookmarkEnd w:id="15"/>
      <w:bookmarkEnd w:id="16"/>
      <w:bookmarkEnd w:id="17"/>
    </w:p>
    <w:p>
      <w:pPr>
        <w:spacing w:line="584" w:lineRule="exact"/>
        <w:rPr>
          <w:rFonts w:asciiTheme="minorEastAsia" w:hAnsiTheme="minorEastAsia" w:eastAsiaTheme="minorEastAsia"/>
        </w:rPr>
      </w:pPr>
    </w:p>
    <w:p>
      <w:pPr>
        <w:overflowPunct w:val="0"/>
        <w:topLinePunct/>
        <w:spacing w:line="584" w:lineRule="exact"/>
        <w:ind w:firstLine="642" w:firstLineChars="200"/>
        <w:rPr>
          <w:rFonts w:ascii="仿宋_GB2312" w:eastAsia="仿宋_GB2312" w:hAnsiTheme="minorEastAsia"/>
          <w:b/>
          <w:bCs/>
          <w:sz w:val="32"/>
          <w:szCs w:val="32"/>
        </w:rPr>
      </w:pPr>
      <w:bookmarkStart w:id="18" w:name="_Toc135917284"/>
      <w:r>
        <w:rPr>
          <w:rFonts w:hint="eastAsia" w:ascii="仿宋_GB2312" w:eastAsia="仿宋_GB2312" w:hAnsiTheme="minorEastAsia"/>
          <w:b/>
          <w:bCs/>
          <w:sz w:val="32"/>
          <w:szCs w:val="32"/>
        </w:rPr>
        <w:t>一、规划年限</w:t>
      </w:r>
      <w:bookmarkEnd w:id="18"/>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本次规划年限与</w:t>
      </w:r>
      <w:r>
        <w:rPr>
          <w:rFonts w:hint="eastAsia" w:ascii="仿宋_GB2312" w:eastAsia="仿宋_GB2312" w:cs="仿宋_GB2312" w:hAnsiTheme="minorEastAsia"/>
          <w:kern w:val="0"/>
          <w:sz w:val="32"/>
          <w:szCs w:val="32"/>
        </w:rPr>
        <w:t>国土空间总体规划</w:t>
      </w:r>
      <w:r>
        <w:rPr>
          <w:rFonts w:hint="eastAsia" w:ascii="仿宋_GB2312" w:eastAsia="仿宋_GB2312" w:hAnsiTheme="minorEastAsia"/>
          <w:sz w:val="32"/>
          <w:szCs w:val="32"/>
        </w:rPr>
        <w:t>保持一致（</w:t>
      </w:r>
      <w:r>
        <w:rPr>
          <w:rFonts w:hint="eastAsia" w:ascii="仿宋_GB2312" w:eastAsia="仿宋_GB2312" w:hAnsiTheme="minorEastAsia"/>
          <w:color w:val="000000"/>
          <w:sz w:val="32"/>
          <w:szCs w:val="32"/>
        </w:rPr>
        <w:t>2023</w:t>
      </w:r>
      <w:r>
        <w:rPr>
          <w:rFonts w:hint="eastAsia" w:ascii="仿宋_GB2312" w:eastAsia="仿宋_GB2312" w:hAnsiTheme="minorEastAsia"/>
          <w:sz w:val="32"/>
          <w:szCs w:val="32"/>
        </w:rPr>
        <w:t>～2035年），当</w:t>
      </w:r>
      <w:r>
        <w:rPr>
          <w:rFonts w:hint="eastAsia" w:ascii="仿宋_GB2312" w:eastAsia="仿宋_GB2312" w:cs="仿宋_GB2312" w:hAnsiTheme="minorEastAsia"/>
          <w:kern w:val="0"/>
          <w:sz w:val="32"/>
          <w:szCs w:val="32"/>
        </w:rPr>
        <w:t>国土空间总体规划</w:t>
      </w:r>
      <w:r>
        <w:rPr>
          <w:rFonts w:hint="eastAsia" w:ascii="仿宋_GB2312" w:eastAsia="仿宋_GB2312" w:hAnsiTheme="minorEastAsia"/>
          <w:sz w:val="32"/>
          <w:szCs w:val="32"/>
        </w:rPr>
        <w:t>修编时，应充分考虑本规划的保护范围和标准。</w:t>
      </w:r>
    </w:p>
    <w:p>
      <w:pPr>
        <w:overflowPunct w:val="0"/>
        <w:topLinePunct/>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二、规划范围</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规划范围为距临清国家基本气象站观测场围栏1000米范围内的核心规划保护区，核心规划保护区以外根据规定按照遮挡仰角进行高度控制。</w:t>
      </w:r>
    </w:p>
    <w:p>
      <w:pPr>
        <w:overflowPunct w:val="0"/>
        <w:topLinePunct/>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三、规划目标</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该专项规划通过审批后，将作为临清市建设规划部门在审批本规划约定范围内的新建、改建建筑物、构筑物和大型工程等的详细性控制依据，确保临清国家基本气象站周边障碍物满足气象探测要求。</w:t>
      </w:r>
    </w:p>
    <w:p>
      <w:pPr>
        <w:overflowPunct w:val="0"/>
        <w:topLinePunct/>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四、主要任务</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对临清国家基本气象站气象探测环境中面临的问题加以分析，提出对策；确定对其探测环境保护的范围和标准。</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1.根据临清国家基本气象观测站的等级、性质和承担的综合气象探测任务及布局特点，明确气象探测环境保护标准和保护范围；</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2.界定清晰临清国家基本气象观测站探测环境保护和控制的范围，实现限建落地；对气象探测环境保护范围内的建设活动和行为提出科学、严格的控制和保护要求；</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3.提出气象探测环境保护专项规划实施的保障措施。</w:t>
      </w:r>
    </w:p>
    <w:p>
      <w:pPr>
        <w:pStyle w:val="17"/>
        <w:spacing w:line="584" w:lineRule="exact"/>
        <w:ind w:firstLine="640"/>
        <w:rPr>
          <w:rFonts w:ascii="仿宋_GB2312" w:eastAsia="仿宋_GB2312" w:hAnsiTheme="minorEastAsia"/>
          <w:sz w:val="32"/>
          <w:szCs w:val="32"/>
        </w:rPr>
      </w:pPr>
    </w:p>
    <w:p>
      <w:pPr>
        <w:widowControl/>
        <w:spacing w:line="584" w:lineRule="exact"/>
        <w:jc w:val="left"/>
        <w:rPr>
          <w:rFonts w:ascii="仿宋_GB2312" w:eastAsia="仿宋_GB2312" w:cs="宋体" w:hAnsiTheme="minorEastAsia"/>
          <w:b/>
          <w:bCs/>
          <w:color w:val="333333"/>
          <w:sz w:val="32"/>
          <w:szCs w:val="32"/>
          <w:shd w:val="clear" w:color="auto" w:fill="FFFFFF"/>
        </w:rPr>
      </w:pPr>
      <w:r>
        <w:rPr>
          <w:rFonts w:hint="eastAsia" w:ascii="仿宋_GB2312" w:eastAsia="仿宋_GB2312" w:cs="宋体" w:hAnsiTheme="minorEastAsia"/>
          <w:b/>
          <w:bCs/>
          <w:color w:val="333333"/>
          <w:sz w:val="32"/>
          <w:szCs w:val="32"/>
          <w:shd w:val="clear" w:color="auto" w:fill="FFFFFF"/>
        </w:rPr>
        <w:br w:type="page"/>
      </w:r>
    </w:p>
    <w:p>
      <w:pPr>
        <w:pStyle w:val="16"/>
        <w:numPr>
          <w:ilvl w:val="0"/>
          <w:numId w:val="5"/>
        </w:numPr>
        <w:overflowPunct w:val="0"/>
        <w:topLinePunct/>
        <w:spacing w:before="0" w:after="0" w:line="584" w:lineRule="exact"/>
        <w:jc w:val="center"/>
        <w:outlineLvl w:val="1"/>
        <w:rPr>
          <w:rFonts w:ascii="楷体_GB2312" w:eastAsia="楷体_GB2312" w:hAnsiTheme="minorEastAsia"/>
          <w:b w:val="0"/>
          <w:szCs w:val="32"/>
        </w:rPr>
      </w:pPr>
      <w:bookmarkStart w:id="19" w:name="_Toc146635369"/>
      <w:r>
        <w:rPr>
          <w:rFonts w:hint="eastAsia" w:ascii="楷体_GB2312" w:eastAsia="楷体_GB2312" w:hAnsiTheme="minorEastAsia"/>
          <w:b w:val="0"/>
          <w:szCs w:val="32"/>
        </w:rPr>
        <w:t>气象探测环境保护范围和标准</w:t>
      </w:r>
      <w:bookmarkEnd w:id="19"/>
    </w:p>
    <w:p/>
    <w:p>
      <w:pPr>
        <w:overflowPunct w:val="0"/>
        <w:topLinePunct/>
        <w:spacing w:line="584" w:lineRule="exact"/>
        <w:ind w:firstLine="642" w:firstLineChars="200"/>
        <w:rPr>
          <w:rStyle w:val="20"/>
          <w:rFonts w:ascii="仿宋_GB2312" w:hAnsi="Arial" w:eastAsia="仿宋_GB2312"/>
          <w:bCs w:val="0"/>
          <w:sz w:val="32"/>
        </w:rPr>
      </w:pPr>
      <w:bookmarkStart w:id="20" w:name="_Toc135917286"/>
      <w:r>
        <w:rPr>
          <w:rStyle w:val="20"/>
          <w:rFonts w:hint="eastAsia" w:ascii="仿宋_GB2312" w:hAnsi="Arial" w:eastAsia="仿宋_GB2312"/>
          <w:bCs w:val="0"/>
          <w:sz w:val="32"/>
        </w:rPr>
        <w:t>一、气象探测环境的定义</w:t>
      </w:r>
      <w:bookmarkEnd w:id="20"/>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是指为避开各种干扰，保证气象探测设施准确获得气象探测信息所必需的最小距离构成的环境空间。</w:t>
      </w:r>
    </w:p>
    <w:p>
      <w:pPr>
        <w:overflowPunct w:val="0"/>
        <w:topLinePunct/>
        <w:spacing w:line="584" w:lineRule="exact"/>
        <w:ind w:firstLine="642" w:firstLineChars="200"/>
        <w:rPr>
          <w:rStyle w:val="20"/>
          <w:rFonts w:ascii="仿宋_GB2312" w:hAnsi="Arial" w:eastAsia="仿宋_GB2312"/>
          <w:bCs w:val="0"/>
          <w:sz w:val="32"/>
        </w:rPr>
      </w:pPr>
      <w:r>
        <w:rPr>
          <w:rStyle w:val="20"/>
          <w:rFonts w:hint="eastAsia" w:ascii="仿宋_GB2312" w:hAnsi="Arial" w:eastAsia="仿宋_GB2312"/>
          <w:bCs w:val="0"/>
          <w:sz w:val="32"/>
        </w:rPr>
        <w:t>二、气象探测环境的总体要求</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1.气象探测环境要求长期稳定，具有良好的区域代表性；</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2.禁止在气象探测环境保护范围内设置超高障碍物和种植生长高度不符合要求的作物、树木；</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3.禁止在气象探测环境保护范围内设置影响气象探测设施工作效能的高频电磁辐射装置和对观测资料准确性有影响的各种源体；</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4.观测场四周不得有致使气象要素发生异常变化的干扰源。</w:t>
      </w:r>
    </w:p>
    <w:p>
      <w:pPr>
        <w:overflowPunct w:val="0"/>
        <w:topLinePunct/>
        <w:spacing w:line="584" w:lineRule="exact"/>
        <w:ind w:firstLine="642" w:firstLineChars="200"/>
        <w:rPr>
          <w:rStyle w:val="20"/>
          <w:rFonts w:ascii="仿宋_GB2312" w:hAnsi="Arial" w:eastAsia="仿宋_GB2312"/>
          <w:bCs w:val="0"/>
          <w:sz w:val="32"/>
        </w:rPr>
      </w:pPr>
      <w:bookmarkStart w:id="21" w:name="_Toc135917288"/>
      <w:r>
        <w:rPr>
          <w:rStyle w:val="20"/>
          <w:rFonts w:hint="eastAsia" w:ascii="仿宋_GB2312" w:hAnsi="Arial" w:eastAsia="仿宋_GB2312"/>
          <w:bCs w:val="0"/>
          <w:sz w:val="32"/>
        </w:rPr>
        <w:t>三、临清国家基本气象站探测环境技术要求</w:t>
      </w:r>
      <w:bookmarkEnd w:id="21"/>
      <w:r>
        <w:rPr>
          <w:rStyle w:val="20"/>
          <w:rFonts w:hint="eastAsia" w:ascii="仿宋_GB2312" w:hAnsi="Arial" w:eastAsia="仿宋_GB2312"/>
          <w:bCs w:val="0"/>
          <w:sz w:val="32"/>
        </w:rPr>
        <w:t xml:space="preserve"> </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根据《气象探测环境保护规范 地面气象观测站》（GB 31221-2014）标准以及《气象设施和气象探测环境保护条例》，临清国家基本气象站气象探测环境保护技术要求如下：</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（一）保护期限</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临清国家基本气象站站址应至少保持30年稳定不变。</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（二）周围环境</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1.观测场四周应空旷平坦，保持气流畅通和自然光照；</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2.观测场最多风向（S）的上方90°范围内5000m、其它方向2000m范围内不宜规划工矿区，不宜建设易产生烟幕等污染大气的设施；</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3.在观测场1000m范围内不应实施爆破、钻探、采石、挖沙、取土等危及观测场安全的活动。</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（三）对障碍物的限制</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在观测场四周划定障碍物控制区，距观测场围栏1000m范围内为障碍物控制区。</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1.控制区内的障碍物任一点（含建筑物上的造型、天线等）上的高度（指障碍物相对观测场平面的高度，下同）距离比小于1/10;</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2.控制区内障碍物与观测场围栏最近距离不小于50m；</w:t>
      </w:r>
    </w:p>
    <w:p>
      <w:pPr>
        <w:spacing w:line="584" w:lineRule="exact"/>
        <w:ind w:firstLine="640" w:firstLineChars="200"/>
        <w:rPr>
          <w:rFonts w:ascii="仿宋_GB2312" w:eastAsia="仿宋_GB2312" w:cs="宋体" w:hAnsiTheme="minorEastAsia"/>
          <w:sz w:val="32"/>
          <w:szCs w:val="32"/>
        </w:rPr>
      </w:pPr>
      <w:r>
        <w:rPr>
          <w:rFonts w:ascii="仿宋_GB2312" w:eastAsia="仿宋_GB2312" w:cs="宋体" w:hAnsiTheme="minorEastAsia"/>
          <w:sz w:val="32"/>
          <w:szCs w:val="32"/>
        </w:rPr>
        <w:t>3</w:t>
      </w:r>
      <w:r>
        <w:rPr>
          <w:rFonts w:hint="eastAsia" w:ascii="仿宋_GB2312" w:eastAsia="仿宋_GB2312" w:cs="宋体" w:hAnsiTheme="minorEastAsia"/>
          <w:sz w:val="32"/>
          <w:szCs w:val="32"/>
        </w:rPr>
        <w:t>.在日出方向（60.4°～119.6°）和日落方向（240.4°～299.6°）范围内</w:t>
      </w:r>
      <w:r>
        <w:rPr>
          <w:rFonts w:hint="eastAsia" w:ascii="仿宋_GB2312" w:eastAsia="仿宋_GB2312" w:hAnsiTheme="minorEastAsia"/>
          <w:sz w:val="32"/>
          <w:szCs w:val="32"/>
        </w:rPr>
        <w:t>（此范围不受1000米控制区限制），</w:t>
      </w:r>
      <w:r>
        <w:rPr>
          <w:rFonts w:hint="eastAsia" w:ascii="仿宋_GB2312" w:eastAsia="仿宋_GB2312" w:cs="宋体" w:hAnsiTheme="minorEastAsia"/>
          <w:sz w:val="32"/>
          <w:szCs w:val="32"/>
        </w:rPr>
        <w:t>障碍物的遮挡仰角不大于5°。</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（四）对影响源的限制</w:t>
      </w:r>
    </w:p>
    <w:p>
      <w:pPr>
        <w:pStyle w:val="2"/>
        <w:spacing w:line="596" w:lineRule="exact"/>
        <w:ind w:left="0" w:leftChars="0" w:firstLine="640"/>
        <w:rPr>
          <w:rFonts w:ascii="仿宋_GB2312" w:eastAsia="仿宋_GB2312" w:cs="宋体" w:hAnsiTheme="minorEastAsia"/>
          <w:sz w:val="32"/>
          <w:szCs w:val="32"/>
        </w:rPr>
      </w:pPr>
      <w:r>
        <w:rPr>
          <w:rFonts w:hint="eastAsia" w:ascii="仿宋_GB2312" w:eastAsia="仿宋_GB2312" w:cs="宋体" w:hAnsiTheme="minorEastAsia"/>
          <w:sz w:val="32"/>
          <w:szCs w:val="32"/>
        </w:rPr>
        <w:t>1</w:t>
      </w:r>
      <w:r>
        <w:rPr>
          <w:rFonts w:ascii="仿宋_GB2312" w:eastAsia="仿宋_GB2312" w:cs="宋体" w:hAnsiTheme="minorEastAsia"/>
          <w:sz w:val="32"/>
          <w:szCs w:val="32"/>
        </w:rPr>
        <w:t>.</w:t>
      </w:r>
      <w:r>
        <w:rPr>
          <w:rFonts w:hint="eastAsia" w:ascii="仿宋_GB2312" w:eastAsia="仿宋_GB2312" w:cs="宋体" w:hAnsiTheme="minorEastAsia"/>
          <w:sz w:val="32"/>
          <w:szCs w:val="32"/>
        </w:rPr>
        <w:t>垃圾场、排污口等其他影响源距观测场围栏的最小距离应大于500m。</w:t>
      </w:r>
    </w:p>
    <w:p>
      <w:pPr>
        <w:overflowPunct w:val="0"/>
        <w:topLinePunct/>
        <w:spacing w:line="596" w:lineRule="exact"/>
        <w:ind w:firstLine="640" w:firstLineChars="200"/>
        <w:rPr>
          <w:rFonts w:ascii="仿宋_GB2312" w:eastAsia="仿宋_GB2312" w:cs="宋体" w:hAnsiTheme="minorEastAsia"/>
          <w:sz w:val="32"/>
          <w:szCs w:val="32"/>
        </w:rPr>
      </w:pPr>
      <w:r>
        <w:rPr>
          <w:rFonts w:ascii="仿宋_GB2312" w:eastAsia="仿宋_GB2312" w:cs="宋体" w:hAnsiTheme="minorEastAsia"/>
          <w:sz w:val="32"/>
          <w:szCs w:val="32"/>
        </w:rPr>
        <w:t>2.</w:t>
      </w:r>
      <w:r>
        <w:rPr>
          <w:rFonts w:hint="eastAsia" w:ascii="仿宋_GB2312" w:eastAsia="仿宋_GB2312" w:cs="宋体" w:hAnsiTheme="minorEastAsia"/>
          <w:sz w:val="32"/>
          <w:szCs w:val="32"/>
        </w:rPr>
        <w:t>铁路路基距观测场围栏距离大于200 m。</w:t>
      </w:r>
    </w:p>
    <w:p>
      <w:pPr>
        <w:overflowPunct w:val="0"/>
        <w:topLinePunct/>
        <w:spacing w:line="596"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3</w:t>
      </w:r>
      <w:r>
        <w:rPr>
          <w:rFonts w:ascii="仿宋_GB2312" w:eastAsia="仿宋_GB2312" w:cs="宋体" w:hAnsiTheme="minorEastAsia"/>
          <w:sz w:val="32"/>
          <w:szCs w:val="32"/>
        </w:rPr>
        <w:t>.</w:t>
      </w:r>
      <w:r>
        <w:rPr>
          <w:rFonts w:hint="eastAsia" w:ascii="仿宋_GB2312" w:eastAsia="仿宋_GB2312" w:cs="宋体" w:hAnsiTheme="minorEastAsia"/>
          <w:sz w:val="32"/>
          <w:szCs w:val="32"/>
        </w:rPr>
        <w:t>人工建造的水体距观测场围栏距离大于100 m。</w:t>
      </w:r>
    </w:p>
    <w:p>
      <w:pPr>
        <w:overflowPunct w:val="0"/>
        <w:topLinePunct/>
        <w:spacing w:line="596" w:lineRule="exact"/>
        <w:ind w:firstLine="640" w:firstLineChars="200"/>
        <w:rPr>
          <w:rFonts w:ascii="仿宋_GB2312" w:eastAsia="仿宋_GB2312" w:cs="宋体" w:hAnsiTheme="minorEastAsia"/>
          <w:sz w:val="32"/>
          <w:szCs w:val="32"/>
        </w:rPr>
      </w:pPr>
      <w:r>
        <w:rPr>
          <w:rFonts w:ascii="仿宋_GB2312" w:eastAsia="仿宋_GB2312" w:cs="宋体" w:hAnsiTheme="minorEastAsia"/>
          <w:sz w:val="32"/>
          <w:szCs w:val="32"/>
        </w:rPr>
        <w:t>4</w:t>
      </w:r>
      <w:r>
        <w:rPr>
          <w:rFonts w:hint="eastAsia" w:ascii="仿宋_GB2312" w:eastAsia="仿宋_GB2312" w:cs="宋体" w:hAnsiTheme="minorEastAsia"/>
          <w:sz w:val="32"/>
          <w:szCs w:val="32"/>
        </w:rPr>
        <w:t>.公路路基距观测场围栏距离大于50 m。</w:t>
      </w:r>
    </w:p>
    <w:p>
      <w:pPr>
        <w:overflowPunct w:val="0"/>
        <w:topLinePunct/>
        <w:spacing w:line="584" w:lineRule="exact"/>
        <w:ind w:firstLine="642" w:firstLineChars="200"/>
        <w:rPr>
          <w:rStyle w:val="20"/>
          <w:rFonts w:ascii="仿宋_GB2312" w:hAnsi="Arial" w:eastAsia="仿宋_GB2312"/>
          <w:bCs w:val="0"/>
          <w:sz w:val="32"/>
        </w:rPr>
      </w:pPr>
      <w:r>
        <w:rPr>
          <w:rStyle w:val="20"/>
          <w:rFonts w:hint="eastAsia" w:ascii="仿宋_GB2312" w:hAnsi="Arial" w:eastAsia="仿宋_GB2312"/>
          <w:bCs w:val="0"/>
          <w:sz w:val="32"/>
        </w:rPr>
        <w:t>四、控制性详细规划</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在有关规划中，临清国家基本气象站位于临清市大辛庄街道办事处高庄村北380米，海拔高度为34.0米，经度115°44′E，纬度36°49′N。</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 xml:space="preserve"> 按照临清市国土空间总体规划，在距临清市国家基本气象站观测场1000米范围内，南侧为二类居住用地、公园绿地、商业用地、文化设施用地、商务用地；西侧为二类居住用地、中小学用地、公园绿地、公用设施用地、行政办公用地；北侧为二类居住用地、公园绿地、行政办公用地、商业用地；东侧为二类居住用地。</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因此应控制好气象探测环境保护区内新建建筑物高度（见附表1），严格限制超高建筑物，不得在规定范围内设置影响源。</w:t>
      </w:r>
    </w:p>
    <w:p>
      <w:pPr>
        <w:pStyle w:val="2"/>
        <w:spacing w:line="584" w:lineRule="exact"/>
        <w:ind w:firstLine="640"/>
        <w:rPr>
          <w:rFonts w:ascii="仿宋_GB2312" w:eastAsia="仿宋_GB2312" w:hAnsiTheme="minorEastAsia"/>
          <w:sz w:val="32"/>
          <w:szCs w:val="32"/>
        </w:rPr>
      </w:pPr>
      <w:r>
        <w:rPr>
          <w:rFonts w:hint="eastAsia" w:ascii="仿宋_GB2312" w:eastAsia="仿宋_GB2312" w:hAnsiTheme="minorEastAsia"/>
          <w:sz w:val="32"/>
          <w:szCs w:val="32"/>
        </w:rPr>
        <w:br w:type="page"/>
      </w:r>
    </w:p>
    <w:p/>
    <w:p>
      <w:pPr>
        <w:pStyle w:val="16"/>
        <w:overflowPunct w:val="0"/>
        <w:topLinePunct/>
        <w:spacing w:before="0" w:after="0" w:line="584" w:lineRule="exact"/>
        <w:ind w:firstLine="422"/>
        <w:jc w:val="center"/>
        <w:rPr>
          <w:rFonts w:ascii="黑体" w:hAnsi="黑体" w:eastAsia="黑体"/>
          <w:b w:val="0"/>
          <w:szCs w:val="32"/>
        </w:rPr>
      </w:pPr>
      <w:bookmarkStart w:id="22" w:name="_Toc146635370"/>
      <w:r>
        <w:rPr>
          <w:rFonts w:hint="eastAsia" w:ascii="黑体" w:hAnsi="黑体" w:eastAsia="黑体"/>
          <w:b w:val="0"/>
          <w:szCs w:val="32"/>
        </w:rPr>
        <w:t>第四章  临清国家基本气象站探测环境</w:t>
      </w:r>
      <w:bookmarkStart w:id="23" w:name="_Toc135917290"/>
      <w:r>
        <w:rPr>
          <w:rFonts w:hint="eastAsia" w:ascii="黑体" w:hAnsi="黑体" w:eastAsia="黑体"/>
          <w:b w:val="0"/>
          <w:szCs w:val="32"/>
        </w:rPr>
        <w:t>的保护标准</w:t>
      </w:r>
      <w:bookmarkEnd w:id="22"/>
      <w:bookmarkEnd w:id="23"/>
    </w:p>
    <w:p>
      <w:pPr>
        <w:spacing w:line="584" w:lineRule="exact"/>
        <w:rPr>
          <w:rFonts w:ascii="仿宋_GB2312" w:eastAsia="仿宋_GB2312" w:hAnsiTheme="minorEastAsia"/>
          <w:sz w:val="32"/>
          <w:szCs w:val="32"/>
        </w:rPr>
      </w:pPr>
      <w:bookmarkStart w:id="24" w:name="_Toc135917291"/>
    </w:p>
    <w:p>
      <w:pPr>
        <w:pStyle w:val="16"/>
        <w:overflowPunct w:val="0"/>
        <w:topLinePunct/>
        <w:spacing w:before="0" w:after="0" w:line="584" w:lineRule="exact"/>
        <w:jc w:val="center"/>
        <w:outlineLvl w:val="1"/>
        <w:rPr>
          <w:rFonts w:ascii="楷体_GB2312" w:eastAsia="楷体_GB2312" w:hAnsiTheme="minorEastAsia"/>
          <w:b w:val="0"/>
          <w:szCs w:val="32"/>
        </w:rPr>
      </w:pPr>
      <w:bookmarkStart w:id="25" w:name="_Toc146635371"/>
      <w:r>
        <w:rPr>
          <w:rFonts w:hint="eastAsia" w:ascii="楷体_GB2312" w:eastAsia="楷体_GB2312" w:hAnsiTheme="minorEastAsia"/>
          <w:b w:val="0"/>
          <w:szCs w:val="32"/>
        </w:rPr>
        <w:t>第一节  临清国家基本气象站概况</w:t>
      </w:r>
      <w:bookmarkEnd w:id="24"/>
      <w:bookmarkEnd w:id="25"/>
    </w:p>
    <w:p>
      <w:pPr>
        <w:spacing w:line="584" w:lineRule="exact"/>
        <w:ind w:firstLine="642" w:firstLineChars="200"/>
        <w:rPr>
          <w:rFonts w:ascii="仿宋_GB2312" w:eastAsia="仿宋_GB2312" w:cs="宋体" w:hAnsiTheme="minorEastAsia"/>
          <w:b/>
          <w:bCs/>
          <w:sz w:val="32"/>
          <w:szCs w:val="32"/>
        </w:rPr>
      </w:pP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国家基本气象站始建于1964年6月，区站号54802，原址位于杨桥，历经三次迁移，现址位于临清市大辛庄街道办事处高庄村北380米，经度115°44′E，纬度36°49′N，地平面海拔高度为36.7米。承担地面气象观测业务。现有气压、气温、地温、湿度、风向、风速、降水、能见度、日照、天气现象、云量、雪深、电线结冰等观测设备及配套通信传输设施。</w:t>
      </w:r>
    </w:p>
    <w:p>
      <w:pPr>
        <w:pStyle w:val="2"/>
        <w:spacing w:line="584" w:lineRule="exact"/>
        <w:ind w:firstLine="640"/>
        <w:rPr>
          <w:rFonts w:ascii="仿宋_GB2312" w:eastAsia="仿宋_GB2312"/>
          <w:sz w:val="32"/>
          <w:szCs w:val="32"/>
        </w:rPr>
      </w:pPr>
    </w:p>
    <w:p>
      <w:pPr>
        <w:pStyle w:val="16"/>
        <w:overflowPunct w:val="0"/>
        <w:topLinePunct/>
        <w:spacing w:before="0" w:after="0" w:line="584" w:lineRule="exact"/>
        <w:jc w:val="center"/>
        <w:outlineLvl w:val="1"/>
        <w:rPr>
          <w:rFonts w:ascii="楷体_GB2312" w:eastAsia="楷体_GB2312" w:hAnsiTheme="minorEastAsia"/>
          <w:b w:val="0"/>
          <w:szCs w:val="32"/>
        </w:rPr>
      </w:pPr>
      <w:bookmarkStart w:id="26" w:name="_Toc146635372"/>
      <w:r>
        <w:rPr>
          <w:rFonts w:hint="eastAsia" w:ascii="楷体_GB2312" w:eastAsia="楷体_GB2312" w:hAnsiTheme="minorEastAsia"/>
          <w:b w:val="0"/>
          <w:szCs w:val="32"/>
        </w:rPr>
        <w:t>第二节 临清国家基本气象站历史沿革</w:t>
      </w:r>
      <w:bookmarkEnd w:id="26"/>
    </w:p>
    <w:p/>
    <w:p>
      <w:pPr>
        <w:overflowPunct w:val="0"/>
        <w:topLinePunct/>
        <w:spacing w:line="584" w:lineRule="exact"/>
        <w:ind w:firstLine="642" w:firstLineChars="200"/>
        <w:rPr>
          <w:rStyle w:val="20"/>
          <w:rFonts w:ascii="仿宋_GB2312" w:hAnsi="Arial" w:eastAsia="仿宋_GB2312"/>
          <w:bCs w:val="0"/>
          <w:sz w:val="32"/>
        </w:rPr>
      </w:pPr>
      <w:r>
        <w:rPr>
          <w:rStyle w:val="20"/>
          <w:rFonts w:hint="eastAsia" w:ascii="仿宋_GB2312" w:hAnsi="Arial" w:eastAsia="仿宋_GB2312"/>
          <w:bCs w:val="0"/>
          <w:sz w:val="32"/>
        </w:rPr>
        <w:t>一、站址变动情况</w:t>
      </w:r>
    </w:p>
    <w:p>
      <w:pPr>
        <w:spacing w:line="584" w:lineRule="exact"/>
        <w:ind w:firstLine="646"/>
        <w:jc w:val="left"/>
        <w:rPr>
          <w:rFonts w:ascii="仿宋_GB2312" w:eastAsia="仿宋_GB2312" w:hAnsiTheme="minorEastAsia"/>
          <w:sz w:val="32"/>
          <w:szCs w:val="32"/>
        </w:rPr>
      </w:pPr>
      <w:r>
        <w:rPr>
          <w:rFonts w:hint="eastAsia" w:ascii="仿宋_GB2312" w:eastAsia="仿宋_GB2312" w:hAnsiTheme="minorEastAsia"/>
          <w:sz w:val="32"/>
          <w:szCs w:val="32"/>
        </w:rPr>
        <w:t>1964年6月成立临清县气候服务站，站址位于临清市东郊，观测场位于东经115°43′，北纬36°51′，拔海高度36.7米。</w:t>
      </w:r>
    </w:p>
    <w:p>
      <w:pPr>
        <w:spacing w:line="584" w:lineRule="exact"/>
        <w:ind w:firstLine="646"/>
        <w:jc w:val="left"/>
        <w:rPr>
          <w:rFonts w:ascii="仿宋_GB2312" w:eastAsia="仿宋_GB2312" w:hAnsiTheme="minorEastAsia"/>
          <w:sz w:val="32"/>
          <w:szCs w:val="32"/>
        </w:rPr>
      </w:pPr>
      <w:r>
        <w:rPr>
          <w:rFonts w:hint="eastAsia" w:ascii="仿宋_GB2312" w:eastAsia="仿宋_GB2312" w:hAnsiTheme="minorEastAsia"/>
          <w:sz w:val="32"/>
          <w:szCs w:val="32"/>
        </w:rPr>
        <w:t>2000年1月1日迁址到城南郊三里堡村北面济津渠北侧，观测场位于东经115°42′，北纬36°49′，拔海高度34.0米。</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2010年1月1日，站址迁至现址（临清市东南高庄村北，观测场位于东经115°44′，北纬36°49′，拔海高度34.0米）。</w:t>
      </w:r>
    </w:p>
    <w:p>
      <w:pPr>
        <w:overflowPunct w:val="0"/>
        <w:topLinePunct/>
        <w:spacing w:line="584" w:lineRule="exact"/>
        <w:ind w:firstLine="642" w:firstLineChars="200"/>
        <w:rPr>
          <w:rStyle w:val="20"/>
          <w:rFonts w:ascii="仿宋_GB2312" w:hAnsi="Arial" w:eastAsia="仿宋_GB2312"/>
          <w:bCs w:val="0"/>
          <w:sz w:val="32"/>
        </w:rPr>
      </w:pPr>
      <w:r>
        <w:rPr>
          <w:rStyle w:val="20"/>
          <w:rFonts w:hint="eastAsia" w:ascii="仿宋_GB2312" w:hAnsi="Arial" w:eastAsia="仿宋_GB2312"/>
          <w:bCs w:val="0"/>
          <w:sz w:val="32"/>
        </w:rPr>
        <w:t>二、站名变动情况</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自 1964年建站以来，站名共有过1</w:t>
      </w:r>
      <w:r>
        <w:rPr>
          <w:rFonts w:ascii="仿宋_GB2312" w:eastAsia="仿宋_GB2312" w:hAnsiTheme="minorEastAsia"/>
          <w:sz w:val="32"/>
          <w:szCs w:val="32"/>
        </w:rPr>
        <w:t>1</w:t>
      </w:r>
      <w:r>
        <w:rPr>
          <w:rFonts w:hint="eastAsia" w:ascii="仿宋_GB2312" w:eastAsia="仿宋_GB2312" w:hAnsiTheme="minorEastAsia"/>
          <w:sz w:val="32"/>
          <w:szCs w:val="32"/>
        </w:rPr>
        <w:t>次变动，情况见下表：</w:t>
      </w:r>
    </w:p>
    <w:tbl>
      <w:tblPr>
        <w:tblStyle w:val="18"/>
        <w:tblpPr w:vertAnchor="text" w:horzAnchor="margin" w:tblpXSpec="center" w:tblpY="222"/>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99"/>
        <w:gridCol w:w="5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00" w:line="584" w:lineRule="exact"/>
              <w:ind w:left="1320"/>
              <w:jc w:val="left"/>
              <w:rPr>
                <w:rFonts w:ascii="仿宋_GB2312" w:eastAsia="仿宋_GB2312" w:hAnsiTheme="minorEastAsia"/>
                <w:sz w:val="28"/>
                <w:szCs w:val="28"/>
              </w:rPr>
            </w:pPr>
            <w:r>
              <w:rPr>
                <w:rFonts w:hint="eastAsia" w:ascii="仿宋_GB2312" w:eastAsia="仿宋_GB2312" w:hAnsiTheme="minorEastAsia"/>
                <w:sz w:val="28"/>
                <w:szCs w:val="28"/>
              </w:rPr>
              <w:t>站     名</w:t>
            </w:r>
          </w:p>
        </w:tc>
        <w:tc>
          <w:tcPr>
            <w:tcW w:w="5170" w:type="dxa"/>
            <w:tcBorders>
              <w:top w:val="single" w:color="auto" w:sz="4" w:space="0"/>
              <w:left w:val="single" w:color="auto" w:sz="4" w:space="0"/>
              <w:bottom w:val="single" w:color="auto" w:sz="4" w:space="0"/>
              <w:right w:val="single" w:color="auto" w:sz="4" w:space="0"/>
            </w:tcBorders>
          </w:tcPr>
          <w:p>
            <w:pPr>
              <w:spacing w:before="100" w:line="584" w:lineRule="exact"/>
              <w:ind w:left="2160"/>
              <w:jc w:val="left"/>
              <w:rPr>
                <w:rFonts w:ascii="仿宋_GB2312" w:eastAsia="仿宋_GB2312" w:hAnsiTheme="minorEastAsia"/>
                <w:sz w:val="28"/>
                <w:szCs w:val="28"/>
              </w:rPr>
            </w:pPr>
            <w:r>
              <w:rPr>
                <w:rFonts w:hint="eastAsia" w:ascii="仿宋_GB2312" w:eastAsia="仿宋_GB2312" w:hAnsiTheme="minorEastAsia"/>
                <w:sz w:val="28"/>
                <w:szCs w:val="28"/>
              </w:rPr>
              <w:t>时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临清县气候站</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1964 年6月—1965年 12 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0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临清县气象服务站</w:t>
            </w:r>
          </w:p>
        </w:tc>
        <w:tc>
          <w:tcPr>
            <w:tcW w:w="5170" w:type="dxa"/>
            <w:tcBorders>
              <w:top w:val="single" w:color="auto" w:sz="4" w:space="0"/>
              <w:left w:val="single" w:color="auto" w:sz="4" w:space="0"/>
              <w:bottom w:val="single" w:color="auto" w:sz="4" w:space="0"/>
              <w:right w:val="single" w:color="auto" w:sz="4" w:space="0"/>
            </w:tcBorders>
          </w:tcPr>
          <w:p>
            <w:pPr>
              <w:spacing w:before="10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1966 年 1 月1日—1974 年 5月31日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20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临清县革命委员会气象站</w:t>
            </w:r>
          </w:p>
        </w:tc>
        <w:tc>
          <w:tcPr>
            <w:tcW w:w="5170" w:type="dxa"/>
            <w:tcBorders>
              <w:top w:val="single" w:color="auto" w:sz="4" w:space="0"/>
              <w:left w:val="single" w:color="auto" w:sz="4" w:space="0"/>
              <w:bottom w:val="single" w:color="auto" w:sz="4" w:space="0"/>
              <w:right w:val="single" w:color="auto" w:sz="4" w:space="0"/>
            </w:tcBorders>
          </w:tcPr>
          <w:p>
            <w:pPr>
              <w:spacing w:before="36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1974 年6月1日—1976 年10月31日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临清县革命委员会气象局</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1976 年11 月1日—1980 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0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临清县气象局</w:t>
            </w:r>
          </w:p>
        </w:tc>
        <w:tc>
          <w:tcPr>
            <w:tcW w:w="5170" w:type="dxa"/>
            <w:tcBorders>
              <w:top w:val="single" w:color="auto" w:sz="4" w:space="0"/>
              <w:left w:val="single" w:color="auto" w:sz="4" w:space="0"/>
              <w:bottom w:val="single" w:color="auto" w:sz="4" w:space="0"/>
              <w:right w:val="single" w:color="auto" w:sz="4" w:space="0"/>
            </w:tcBorders>
          </w:tcPr>
          <w:p>
            <w:pPr>
              <w:spacing w:before="10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1981 年 1月1日—1984 年1月31日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临清市气象局</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1984 年 2月1日—1985年2月28日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临清市气象站</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1985 年 3月1日—1989年1月31日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临清市气象局</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1989 年 2月1日—2006年12月31日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临清国家气象观测站二级站</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2007年1月1日—2008年12月31日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临清国家一般气象站</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2009年1月1日—20</w:t>
            </w:r>
            <w:r>
              <w:rPr>
                <w:rFonts w:ascii="仿宋_GB2312" w:eastAsia="仿宋_GB2312" w:hAnsiTheme="minorEastAsia"/>
                <w:sz w:val="28"/>
                <w:szCs w:val="28"/>
              </w:rPr>
              <w:t>18</w:t>
            </w:r>
            <w:r>
              <w:rPr>
                <w:rFonts w:hint="eastAsia" w:ascii="仿宋_GB2312" w:eastAsia="仿宋_GB2312" w:hAnsiTheme="minorEastAsia"/>
                <w:sz w:val="28"/>
                <w:szCs w:val="28"/>
              </w:rPr>
              <w:t>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临清国家气象观测站</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20</w:t>
            </w:r>
            <w:r>
              <w:rPr>
                <w:rFonts w:ascii="仿宋_GB2312" w:eastAsia="仿宋_GB2312" w:hAnsiTheme="minorEastAsia"/>
                <w:sz w:val="28"/>
                <w:szCs w:val="28"/>
              </w:rPr>
              <w:t>1</w:t>
            </w:r>
            <w:r>
              <w:rPr>
                <w:rFonts w:hint="eastAsia" w:ascii="仿宋_GB2312" w:eastAsia="仿宋_GB2312" w:hAnsiTheme="minorEastAsia"/>
                <w:sz w:val="28"/>
                <w:szCs w:val="28"/>
              </w:rPr>
              <w:t>9年1月1日—2022年12月31日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3999"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临清国家基本气象站</w:t>
            </w:r>
          </w:p>
        </w:tc>
        <w:tc>
          <w:tcPr>
            <w:tcW w:w="5170" w:type="dxa"/>
            <w:tcBorders>
              <w:top w:val="single" w:color="auto" w:sz="4" w:space="0"/>
              <w:left w:val="single" w:color="auto" w:sz="4" w:space="0"/>
              <w:bottom w:val="single" w:color="auto" w:sz="4" w:space="0"/>
              <w:right w:val="single" w:color="auto" w:sz="4" w:space="0"/>
            </w:tcBorders>
          </w:tcPr>
          <w:p>
            <w:pPr>
              <w:spacing w:before="120" w:line="584" w:lineRule="exact"/>
              <w:ind w:left="100"/>
              <w:jc w:val="left"/>
              <w:rPr>
                <w:rFonts w:ascii="仿宋_GB2312" w:eastAsia="仿宋_GB2312" w:hAnsiTheme="minorEastAsia"/>
                <w:sz w:val="28"/>
                <w:szCs w:val="28"/>
              </w:rPr>
            </w:pPr>
            <w:r>
              <w:rPr>
                <w:rFonts w:hint="eastAsia" w:ascii="仿宋_GB2312" w:eastAsia="仿宋_GB2312" w:hAnsiTheme="minorEastAsia"/>
                <w:sz w:val="28"/>
                <w:szCs w:val="28"/>
              </w:rPr>
              <w:t>2023年1月1日—</w:t>
            </w:r>
          </w:p>
        </w:tc>
      </w:tr>
    </w:tbl>
    <w:p>
      <w:pPr>
        <w:autoSpaceDE w:val="0"/>
        <w:autoSpaceDN w:val="0"/>
        <w:adjustRightInd w:val="0"/>
        <w:spacing w:line="584" w:lineRule="exact"/>
        <w:jc w:val="left"/>
        <w:rPr>
          <w:rFonts w:ascii="仿宋_GB2312" w:eastAsia="仿宋_GB2312" w:hAnsiTheme="minorEastAsia"/>
          <w:sz w:val="32"/>
          <w:szCs w:val="32"/>
        </w:rPr>
      </w:pPr>
    </w:p>
    <w:p>
      <w:pPr>
        <w:spacing w:line="584" w:lineRule="exact"/>
        <w:ind w:firstLine="642" w:firstLineChars="200"/>
        <w:jc w:val="center"/>
        <w:rPr>
          <w:rFonts w:ascii="仿宋_GB2312" w:eastAsia="仿宋_GB2312" w:cs="宋体" w:hAnsiTheme="minorEastAsia"/>
          <w:b/>
          <w:bCs/>
          <w:sz w:val="32"/>
          <w:szCs w:val="32"/>
        </w:rPr>
      </w:pPr>
    </w:p>
    <w:p>
      <w:pPr>
        <w:widowControl/>
        <w:jc w:val="left"/>
        <w:rPr>
          <w:rFonts w:ascii="仿宋_GB2312" w:eastAsia="仿宋_GB2312" w:hAnsiTheme="minorEastAsia"/>
          <w:sz w:val="32"/>
          <w:szCs w:val="32"/>
        </w:rPr>
      </w:pPr>
      <w:r>
        <w:rPr>
          <w:rFonts w:ascii="仿宋_GB2312" w:eastAsia="仿宋_GB2312" w:hAnsiTheme="minorEastAsia"/>
          <w:b/>
          <w:szCs w:val="32"/>
        </w:rPr>
        <w:br w:type="page"/>
      </w:r>
    </w:p>
    <w:p/>
    <w:p>
      <w:pPr>
        <w:pStyle w:val="16"/>
        <w:overflowPunct w:val="0"/>
        <w:topLinePunct/>
        <w:spacing w:before="0" w:after="0" w:line="584" w:lineRule="exact"/>
        <w:jc w:val="center"/>
        <w:outlineLvl w:val="1"/>
        <w:rPr>
          <w:rFonts w:ascii="楷体_GB2312" w:eastAsia="楷体_GB2312" w:hAnsiTheme="minorEastAsia"/>
          <w:b w:val="0"/>
          <w:szCs w:val="32"/>
        </w:rPr>
      </w:pPr>
      <w:bookmarkStart w:id="27" w:name="_Toc146635373"/>
      <w:r>
        <w:rPr>
          <w:rFonts w:hint="eastAsia" w:ascii="楷体_GB2312" w:eastAsia="楷体_GB2312" w:hAnsiTheme="minorEastAsia"/>
          <w:b w:val="0"/>
          <w:szCs w:val="32"/>
        </w:rPr>
        <w:t>第三节  临清国家基本气象站环境现状</w:t>
      </w:r>
      <w:bookmarkEnd w:id="27"/>
    </w:p>
    <w:p>
      <w:pPr>
        <w:spacing w:line="584" w:lineRule="exact"/>
        <w:ind w:firstLine="640" w:firstLineChars="200"/>
        <w:rPr>
          <w:rFonts w:ascii="仿宋_GB2312" w:eastAsia="仿宋_GB2312" w:cs="宋体" w:hAnsiTheme="minorEastAsia"/>
          <w:sz w:val="32"/>
          <w:szCs w:val="32"/>
        </w:rPr>
      </w:pP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临清国家基本气象站所在地域以农用地、农村宅基地、工业用地为主，周边地表物体现状情况见附表2。</w:t>
      </w:r>
    </w:p>
    <w:p>
      <w:pPr>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一、气象站周边环境地表物体现状</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本次气象探测环境保护专项规划核心区域是以临清国家基本气象站观测场（围栏边缘）为中心，周边1000米为半径所覆盖的区域，在此区域内地表主要物体现状为树木、建筑及农用地等。</w:t>
      </w:r>
    </w:p>
    <w:p>
      <w:pPr>
        <w:spacing w:line="584" w:lineRule="exact"/>
        <w:ind w:firstLine="642" w:firstLineChars="200"/>
        <w:rPr>
          <w:rFonts w:ascii="仿宋_GB2312" w:eastAsia="仿宋_GB2312" w:hAnsiTheme="minorEastAsia"/>
          <w:b/>
          <w:bCs/>
          <w:sz w:val="32"/>
          <w:szCs w:val="32"/>
        </w:rPr>
      </w:pPr>
      <w:r>
        <w:rPr>
          <w:rFonts w:hint="eastAsia" w:ascii="仿宋_GB2312" w:eastAsia="仿宋_GB2312" w:hAnsiTheme="minorEastAsia"/>
          <w:b/>
          <w:bCs/>
          <w:sz w:val="32"/>
          <w:szCs w:val="32"/>
        </w:rPr>
        <w:t>二、气象站周边环境现状分析与评价</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（一）代表性分析</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国家气象观测站的观测资料是分析临清天气、气候的重要依据，也是临清市气象防灾减灾的重要依据，代表的是临清市范围内的平均气象状况，是分析临清天气、气候以及气候变化的重要依据，是天气预测预报的基础性气象资料。因此，必须加强气象探测环境保护，确保获得的观测资料具有代表性。</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国家基本气象站位于市区东南，京九铁路以西，大辛庄办事处高庄村北。其东、南、西、北四面均为农田，其东方1300米是京九铁路，南方380米是高庄村，西方140米是宽21米的三干渠，北方260米处是小运河。观测场四周气流畅通，无成排障碍物影响，符合气象探测环境保护要求，观测资料具有较好的代表性。</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二）准确性分析。目前，气象站观测场大小为25（南北）×25（东西）平方米，在距观测场围栏1000米范围内除部分树木外，其他障碍物相对高度距离比均小于1/10，在距观测场围栏50米范围内的地表以上物体高于观测场地平面高度均小于1米。按照国家气象站的探测环境保护技术要求，观测场四周距围栏1000米范围内现有地表物体分布状况、距离、高度等基本符合《气象探测环境保护规范 地面气象观测站》（GB 31221-2014）标准要求(临清国家基本气象站控制区内障碍物、影响源的限制要求见附表3)。</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场外四周空旷开阔，没有对气象探测资料准确性有影响的大型锅炉、废水、废气、垃圾场等干扰源或者其他源体。</w:t>
      </w:r>
    </w:p>
    <w:p>
      <w:pPr>
        <w:spacing w:line="584" w:lineRule="exact"/>
        <w:ind w:firstLine="640" w:firstLineChars="200"/>
        <w:jc w:val="left"/>
        <w:rPr>
          <w:rFonts w:ascii="仿宋_GB2312" w:eastAsia="仿宋_GB2312" w:hAnsiTheme="minorEastAsia"/>
          <w:b/>
          <w:sz w:val="32"/>
          <w:szCs w:val="32"/>
        </w:rPr>
      </w:pPr>
      <w:r>
        <w:rPr>
          <w:rFonts w:hint="eastAsia" w:ascii="仿宋_GB2312" w:eastAsia="仿宋_GB2312" w:hAnsiTheme="minorEastAsia"/>
          <w:sz w:val="32"/>
          <w:szCs w:val="32"/>
        </w:rPr>
        <w:t>（二）连续性分析。临清国家基本气象站自1964年启用至今，</w:t>
      </w:r>
      <w:r>
        <w:rPr>
          <w:rFonts w:hint="eastAsia" w:ascii="仿宋_GB2312" w:hAnsi="宋体" w:eastAsia="仿宋_GB2312"/>
          <w:color w:val="000000"/>
          <w:sz w:val="32"/>
          <w:szCs w:val="32"/>
        </w:rPr>
        <w:t>迁站 2次。1964年6月建站于杨桥；</w:t>
      </w:r>
      <w:r>
        <w:rPr>
          <w:rFonts w:hint="eastAsia" w:ascii="仿宋_GB2312" w:hAnsi="宋体" w:eastAsia="仿宋_GB2312"/>
          <w:sz w:val="32"/>
          <w:szCs w:val="32"/>
        </w:rPr>
        <w:t>2000年1月1日，站址迁至</w:t>
      </w:r>
      <w:r>
        <w:rPr>
          <w:rFonts w:hint="eastAsia" w:ascii="仿宋_GB2312" w:hAnsi="宋体" w:eastAsia="仿宋_GB2312" w:cs="Tahoma"/>
          <w:color w:val="000000"/>
          <w:sz w:val="32"/>
          <w:szCs w:val="32"/>
          <w:shd w:val="clear" w:color="auto" w:fill="FFFFFF"/>
        </w:rPr>
        <w:t>城南郊三里堡村北面济津渠北侧</w:t>
      </w:r>
      <w:r>
        <w:rPr>
          <w:rFonts w:hint="eastAsia" w:ascii="仿宋_GB2312" w:hAnsi="宋体" w:eastAsia="仿宋_GB2312"/>
          <w:sz w:val="32"/>
          <w:szCs w:val="32"/>
        </w:rPr>
        <w:t>；2010年1月1日，站址迁至</w:t>
      </w:r>
      <w:r>
        <w:rPr>
          <w:rFonts w:hint="eastAsia" w:ascii="仿宋_GB2312" w:eastAsia="仿宋_GB2312"/>
          <w:color w:val="000000"/>
          <w:sz w:val="32"/>
          <w:szCs w:val="32"/>
        </w:rPr>
        <w:t>城东南高庄村北</w:t>
      </w:r>
      <w:r>
        <w:rPr>
          <w:rFonts w:hint="eastAsia" w:ascii="仿宋_GB2312" w:hAnsi="宋体" w:eastAsia="仿宋_GB2312"/>
          <w:sz w:val="32"/>
          <w:szCs w:val="32"/>
        </w:rPr>
        <w:t>，根据迁站要求，</w:t>
      </w:r>
      <w:r>
        <w:rPr>
          <w:rFonts w:hint="eastAsia" w:ascii="仿宋_GB2312" w:hAnsi="宋体" w:eastAsia="仿宋_GB2312"/>
          <w:color w:val="000000"/>
          <w:sz w:val="32"/>
          <w:szCs w:val="32"/>
        </w:rPr>
        <w:t>迁站期间进行了 3 个月的对比观测，根据对比观测资料分析，未对气象观测资料的质量带来影响。</w:t>
      </w:r>
      <w:r>
        <w:rPr>
          <w:rFonts w:hint="eastAsia" w:ascii="仿宋_GB2312" w:hAnsi="宋体" w:eastAsia="仿宋_GB2312"/>
          <w:color w:val="000000"/>
          <w:sz w:val="32"/>
          <w:szCs w:val="32"/>
          <w:lang w:eastAsia="zh-CN"/>
        </w:rPr>
        <w:t>截至目前</w:t>
      </w:r>
      <w:r>
        <w:rPr>
          <w:rFonts w:hint="eastAsia" w:ascii="仿宋_GB2312" w:hAnsi="宋体" w:eastAsia="仿宋_GB2312"/>
          <w:color w:val="000000"/>
          <w:sz w:val="32"/>
          <w:szCs w:val="32"/>
        </w:rPr>
        <w:t>，</w:t>
      </w:r>
      <w:r>
        <w:rPr>
          <w:rFonts w:hint="eastAsia" w:ascii="仿宋_GB2312" w:eastAsia="仿宋_GB2312" w:hAnsiTheme="minorEastAsia"/>
          <w:sz w:val="32"/>
          <w:szCs w:val="32"/>
        </w:rPr>
        <w:t>气象观测工作从未中断，建档气象资料保存完整，连续性资料超过50年，积累了非常宝贵的气象资料，为临清国民经济建设发展、气候变化和气候研究等提供了重要依据。</w:t>
      </w:r>
    </w:p>
    <w:p/>
    <w:p>
      <w:pPr>
        <w:pStyle w:val="16"/>
        <w:overflowPunct w:val="0"/>
        <w:topLinePunct/>
        <w:spacing w:before="0" w:after="0" w:line="584" w:lineRule="exact"/>
        <w:jc w:val="center"/>
        <w:outlineLvl w:val="1"/>
        <w:rPr>
          <w:rFonts w:ascii="楷体_GB2312" w:hAnsi="黑体" w:eastAsia="楷体_GB2312"/>
          <w:b w:val="0"/>
          <w:szCs w:val="32"/>
        </w:rPr>
      </w:pPr>
      <w:bookmarkStart w:id="28" w:name="_Toc146635374"/>
      <w:r>
        <w:rPr>
          <w:rFonts w:hint="eastAsia" w:ascii="楷体_GB2312" w:hAnsi="黑体" w:eastAsia="楷体_GB2312"/>
          <w:b w:val="0"/>
          <w:szCs w:val="32"/>
        </w:rPr>
        <w:t>第四节  临清国家基本气象站周边用地规划情况</w:t>
      </w:r>
      <w:bookmarkEnd w:id="28"/>
    </w:p>
    <w:p>
      <w:pPr>
        <w:spacing w:line="584" w:lineRule="exact"/>
        <w:ind w:firstLine="440" w:firstLineChars="200"/>
        <w:rPr>
          <w:rFonts w:ascii="仿宋_GB2312" w:eastAsia="仿宋_GB2312" w:hAnsiTheme="minorEastAsia"/>
          <w:sz w:val="22"/>
          <w:szCs w:val="22"/>
        </w:rPr>
      </w:pP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国家基本气象站位于临清市城区东南方向，大辛街道办事处高庄村北侧，三干渠以东、运河路以西、文化路以南、清渊街以北。为保证气象探测资料的准确性和代表性，其周边障碍物必须符合气象探测环境保护标准。</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 xml:space="preserve"> 按照临清市国土空间总体规划，在距临清市国家基本气象站观测场1000米范围内，南侧为二类居住用地、公园绿地、商业用地、文化设施用地、商务用地；西侧为二类居住用地、中小学用地、公园绿地、公用设施用地、行政办公用地；北侧为二类居住用地、公园绿地、行政办公用地、商业用地；东侧为二类居住用地。（见附表4）。</w:t>
      </w:r>
    </w:p>
    <w:p>
      <w:pPr>
        <w:spacing w:line="584" w:lineRule="exact"/>
        <w:ind w:firstLine="640" w:firstLineChars="200"/>
        <w:rPr>
          <w:rFonts w:ascii="仿宋_GB2312" w:eastAsia="仿宋_GB2312" w:hAnsiTheme="minorEastAsia"/>
          <w:sz w:val="32"/>
          <w:szCs w:val="32"/>
        </w:rPr>
      </w:pPr>
    </w:p>
    <w:p>
      <w:pPr>
        <w:spacing w:line="584" w:lineRule="exact"/>
        <w:ind w:firstLine="640" w:firstLineChars="200"/>
        <w:rPr>
          <w:rFonts w:ascii="楷体_GB2312" w:eastAsia="楷体_GB2312" w:hAnsiTheme="minorEastAsia"/>
          <w:b/>
          <w:sz w:val="32"/>
          <w:szCs w:val="32"/>
        </w:rPr>
      </w:pPr>
      <w:r>
        <w:rPr>
          <w:rFonts w:hint="eastAsia" w:ascii="楷体_GB2312" w:eastAsia="楷体_GB2312" w:hAnsiTheme="minorEastAsia"/>
          <w:sz w:val="32"/>
          <w:szCs w:val="32"/>
        </w:rPr>
        <w:t>第</w:t>
      </w:r>
      <w:r>
        <w:rPr>
          <w:rFonts w:hint="eastAsia" w:ascii="楷体_GB2312" w:eastAsia="楷体_GB2312" w:hAnsiTheme="minorEastAsia"/>
          <w:b/>
          <w:sz w:val="32"/>
          <w:szCs w:val="32"/>
        </w:rPr>
        <w:t>五</w:t>
      </w:r>
      <w:r>
        <w:rPr>
          <w:rFonts w:hint="eastAsia" w:ascii="楷体_GB2312" w:eastAsia="楷体_GB2312" w:hAnsiTheme="minorEastAsia"/>
          <w:sz w:val="32"/>
          <w:szCs w:val="32"/>
        </w:rPr>
        <w:t>节  临清国家基本气象站探测保护要求</w:t>
      </w:r>
    </w:p>
    <w:p>
      <w:pPr>
        <w:spacing w:line="584" w:lineRule="exact"/>
        <w:ind w:firstLine="640" w:firstLineChars="200"/>
        <w:rPr>
          <w:rFonts w:ascii="仿宋_GB2312" w:eastAsia="仿宋_GB2312" w:hAnsiTheme="minorEastAsia"/>
          <w:sz w:val="32"/>
          <w:szCs w:val="32"/>
        </w:rPr>
      </w:pP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依据《中华人民共和国气象法》、《气象设施和气象探测环境保护条例》、《山东省气象设施和气象探测环境保护条例》、《山东省气象灾害防御条例》等法律、法规，临清国家基本气象站探测保护要求如下：</w:t>
      </w:r>
    </w:p>
    <w:p>
      <w:pPr>
        <w:spacing w:line="480" w:lineRule="atLeast"/>
        <w:ind w:firstLine="560"/>
        <w:rPr>
          <w:rFonts w:ascii="仿宋_GB2312" w:eastAsia="仿宋_GB2312" w:hAnsiTheme="minorEastAsia"/>
          <w:sz w:val="32"/>
          <w:szCs w:val="32"/>
        </w:rPr>
      </w:pPr>
      <w:r>
        <w:rPr>
          <w:rFonts w:hint="eastAsia" w:ascii="仿宋_GB2312" w:eastAsia="仿宋_GB2312" w:hAnsiTheme="minorEastAsia"/>
          <w:sz w:val="32"/>
          <w:szCs w:val="32"/>
        </w:rPr>
        <w:t>一、禁止实施下列危害气象设施的行为：</w:t>
      </w:r>
    </w:p>
    <w:p>
      <w:pPr>
        <w:widowControl/>
        <w:spacing w:line="480" w:lineRule="atLeast"/>
        <w:ind w:firstLine="560"/>
        <w:jc w:val="left"/>
        <w:rPr>
          <w:rFonts w:ascii="仿宋_GB2312" w:eastAsia="仿宋_GB2312" w:cs="宋体" w:hAnsiTheme="minorEastAsia"/>
          <w:sz w:val="32"/>
          <w:szCs w:val="32"/>
        </w:rPr>
      </w:pPr>
      <w:r>
        <w:rPr>
          <w:rFonts w:hint="eastAsia" w:ascii="仿宋_GB2312" w:eastAsia="仿宋_GB2312" w:hAnsiTheme="minorEastAsia"/>
          <w:sz w:val="32"/>
          <w:szCs w:val="32"/>
        </w:rPr>
        <w:t>1</w:t>
      </w:r>
      <w:r>
        <w:rPr>
          <w:rFonts w:ascii="仿宋_GB2312" w:eastAsia="仿宋_GB2312" w:hAnsiTheme="minorEastAsia"/>
          <w:sz w:val="32"/>
          <w:szCs w:val="32"/>
        </w:rPr>
        <w:t>.</w:t>
      </w:r>
      <w:r>
        <w:rPr>
          <w:rFonts w:hint="eastAsia" w:ascii="仿宋_GB2312" w:eastAsia="仿宋_GB2312" w:hAnsiTheme="minorEastAsia"/>
          <w:sz w:val="32"/>
          <w:szCs w:val="32"/>
        </w:rPr>
        <w:t>侵占、损毁、擅自移动气</w:t>
      </w:r>
      <w:r>
        <w:rPr>
          <w:rFonts w:hint="eastAsia" w:ascii="仿宋_GB2312" w:eastAsia="仿宋_GB2312" w:cs="宋体" w:hAnsiTheme="minorEastAsia"/>
          <w:sz w:val="32"/>
          <w:szCs w:val="32"/>
        </w:rPr>
        <w:t>象设施或者侵占气象设施用地；</w:t>
      </w:r>
    </w:p>
    <w:p>
      <w:pPr>
        <w:widowControl/>
        <w:spacing w:line="480" w:lineRule="atLeast"/>
        <w:ind w:firstLine="560"/>
        <w:jc w:val="left"/>
        <w:rPr>
          <w:rFonts w:ascii="仿宋_GB2312" w:eastAsia="仿宋_GB2312" w:cs="宋体" w:hAnsiTheme="minorEastAsia"/>
          <w:sz w:val="32"/>
          <w:szCs w:val="32"/>
        </w:rPr>
      </w:pPr>
      <w:r>
        <w:rPr>
          <w:rFonts w:hint="eastAsia" w:ascii="仿宋_GB2312" w:eastAsia="仿宋_GB2312" w:cs="宋体" w:hAnsiTheme="minorEastAsia"/>
          <w:sz w:val="32"/>
          <w:szCs w:val="32"/>
        </w:rPr>
        <w:t>2</w:t>
      </w:r>
      <w:r>
        <w:rPr>
          <w:rFonts w:ascii="仿宋_GB2312" w:eastAsia="仿宋_GB2312" w:cs="宋体" w:hAnsiTheme="minorEastAsia"/>
          <w:sz w:val="32"/>
          <w:szCs w:val="32"/>
        </w:rPr>
        <w:t>.</w:t>
      </w:r>
      <w:r>
        <w:rPr>
          <w:rFonts w:hint="eastAsia" w:ascii="仿宋_GB2312" w:eastAsia="仿宋_GB2312" w:cs="宋体" w:hAnsiTheme="minorEastAsia"/>
          <w:sz w:val="32"/>
          <w:szCs w:val="32"/>
        </w:rPr>
        <w:t>在气象设施周边进行危及气象设施安全的爆破、钻探、采石、挖砂、取土等活动；</w:t>
      </w:r>
    </w:p>
    <w:p>
      <w:pPr>
        <w:widowControl/>
        <w:spacing w:line="480" w:lineRule="atLeast"/>
        <w:ind w:firstLine="560"/>
        <w:jc w:val="left"/>
        <w:rPr>
          <w:rFonts w:ascii="仿宋_GB2312" w:eastAsia="仿宋_GB2312" w:cs="宋体" w:hAnsiTheme="minorEastAsia"/>
          <w:sz w:val="32"/>
          <w:szCs w:val="32"/>
        </w:rPr>
      </w:pPr>
      <w:r>
        <w:rPr>
          <w:rFonts w:hint="eastAsia" w:ascii="仿宋_GB2312" w:eastAsia="仿宋_GB2312" w:cs="宋体" w:hAnsiTheme="minorEastAsia"/>
          <w:sz w:val="32"/>
          <w:szCs w:val="32"/>
        </w:rPr>
        <w:t>3</w:t>
      </w:r>
      <w:r>
        <w:rPr>
          <w:rFonts w:ascii="仿宋_GB2312" w:eastAsia="仿宋_GB2312" w:cs="宋体" w:hAnsiTheme="minorEastAsia"/>
          <w:sz w:val="32"/>
          <w:szCs w:val="32"/>
        </w:rPr>
        <w:t>.</w:t>
      </w:r>
      <w:r>
        <w:rPr>
          <w:rFonts w:hint="eastAsia" w:ascii="仿宋_GB2312" w:eastAsia="仿宋_GB2312" w:cs="宋体" w:hAnsiTheme="minorEastAsia"/>
          <w:sz w:val="32"/>
          <w:szCs w:val="32"/>
        </w:rPr>
        <w:t>挤占、干扰依法设立的气象无线电台（站）、频率；</w:t>
      </w:r>
    </w:p>
    <w:p>
      <w:pPr>
        <w:widowControl/>
        <w:spacing w:line="480" w:lineRule="atLeast"/>
        <w:ind w:firstLine="560"/>
        <w:jc w:val="left"/>
        <w:rPr>
          <w:rFonts w:ascii="仿宋_GB2312" w:eastAsia="仿宋_GB2312" w:cs="宋体" w:hAnsiTheme="minorEastAsia"/>
          <w:sz w:val="32"/>
          <w:szCs w:val="32"/>
        </w:rPr>
      </w:pPr>
      <w:r>
        <w:rPr>
          <w:rFonts w:hint="eastAsia" w:ascii="仿宋_GB2312" w:eastAsia="仿宋_GB2312" w:cs="宋体" w:hAnsiTheme="minorEastAsia"/>
          <w:sz w:val="32"/>
          <w:szCs w:val="32"/>
        </w:rPr>
        <w:t>4</w:t>
      </w:r>
      <w:r>
        <w:rPr>
          <w:rFonts w:ascii="仿宋_GB2312" w:eastAsia="仿宋_GB2312" w:cs="宋体" w:hAnsiTheme="minorEastAsia"/>
          <w:sz w:val="32"/>
          <w:szCs w:val="32"/>
        </w:rPr>
        <w:t>.</w:t>
      </w:r>
      <w:r>
        <w:rPr>
          <w:rFonts w:hint="eastAsia" w:ascii="仿宋_GB2312" w:eastAsia="仿宋_GB2312" w:cs="宋体" w:hAnsiTheme="minorEastAsia"/>
          <w:sz w:val="32"/>
          <w:szCs w:val="32"/>
        </w:rPr>
        <w:t>设置影响大型气象专用技术装备使用功能的干扰源；</w:t>
      </w:r>
    </w:p>
    <w:p>
      <w:pPr>
        <w:widowControl/>
        <w:spacing w:line="480" w:lineRule="atLeast"/>
        <w:ind w:firstLine="560"/>
        <w:jc w:val="left"/>
        <w:rPr>
          <w:rFonts w:ascii="仿宋_GB2312" w:eastAsia="仿宋_GB2312" w:cs="宋体" w:hAnsiTheme="minorEastAsia"/>
          <w:sz w:val="32"/>
          <w:szCs w:val="32"/>
        </w:rPr>
      </w:pPr>
      <w:r>
        <w:rPr>
          <w:rFonts w:hint="eastAsia" w:ascii="仿宋_GB2312" w:eastAsia="仿宋_GB2312" w:cs="宋体" w:hAnsiTheme="minorEastAsia"/>
          <w:sz w:val="32"/>
          <w:szCs w:val="32"/>
        </w:rPr>
        <w:t>5</w:t>
      </w:r>
      <w:r>
        <w:rPr>
          <w:rFonts w:ascii="仿宋_GB2312" w:eastAsia="仿宋_GB2312" w:cs="宋体" w:hAnsiTheme="minorEastAsia"/>
          <w:sz w:val="32"/>
          <w:szCs w:val="32"/>
        </w:rPr>
        <w:t>.</w:t>
      </w:r>
      <w:r>
        <w:rPr>
          <w:rFonts w:hint="eastAsia" w:ascii="仿宋_GB2312" w:eastAsia="仿宋_GB2312" w:cs="宋体" w:hAnsiTheme="minorEastAsia"/>
          <w:sz w:val="32"/>
          <w:szCs w:val="32"/>
        </w:rPr>
        <w:t>法律、行政法规和国务院气象主管机构规定的其他危害气象设施的行为。</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二、禁止实施下列危害国家基本气象站探测环境的行为：</w:t>
      </w:r>
    </w:p>
    <w:p>
      <w:pPr>
        <w:spacing w:line="584" w:lineRule="exact"/>
        <w:ind w:firstLine="640" w:firstLineChars="200"/>
        <w:rPr>
          <w:rFonts w:ascii="仿宋_GB2312" w:eastAsia="仿宋_GB2312" w:hAnsiTheme="minorEastAsia"/>
          <w:sz w:val="32"/>
          <w:szCs w:val="32"/>
        </w:rPr>
      </w:pPr>
      <w:r>
        <w:rPr>
          <w:rFonts w:ascii="仿宋_GB2312" w:eastAsia="仿宋_GB2312" w:cs="宋体" w:hAnsiTheme="minorEastAsia"/>
          <w:sz w:val="32"/>
          <w:szCs w:val="32"/>
        </w:rPr>
        <w:t>1.</w:t>
      </w:r>
      <w:r>
        <w:rPr>
          <w:rFonts w:hint="eastAsia" w:ascii="仿宋_GB2312" w:eastAsia="仿宋_GB2312" w:cs="宋体" w:hAnsiTheme="minorEastAsia"/>
          <w:sz w:val="32"/>
          <w:szCs w:val="32"/>
        </w:rPr>
        <w:t>国家基本气象站观测场周边1000米探测环境保护范围内修建高度超过距观测场距离1／10的建筑物、构筑物；</w:t>
      </w:r>
      <w:r>
        <w:rPr>
          <w:rFonts w:ascii="仿宋_GB2312" w:eastAsia="仿宋_GB2312" w:hAnsiTheme="minorEastAsia"/>
          <w:sz w:val="32"/>
          <w:szCs w:val="32"/>
        </w:rPr>
        <w:t xml:space="preserve"> </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2</w:t>
      </w:r>
      <w:r>
        <w:rPr>
          <w:rFonts w:ascii="仿宋_GB2312" w:eastAsia="仿宋_GB2312" w:cs="宋体" w:hAnsiTheme="minorEastAsia"/>
          <w:sz w:val="32"/>
          <w:szCs w:val="32"/>
        </w:rPr>
        <w:t>.</w:t>
      </w:r>
      <w:r>
        <w:rPr>
          <w:rFonts w:hint="eastAsia" w:ascii="仿宋_GB2312" w:eastAsia="仿宋_GB2312" w:cs="宋体" w:hAnsiTheme="minorEastAsia"/>
          <w:sz w:val="32"/>
          <w:szCs w:val="32"/>
        </w:rPr>
        <w:t>在观测场周边500米范围内设置垃圾场、排污口等干扰源；</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3</w:t>
      </w:r>
      <w:r>
        <w:rPr>
          <w:rFonts w:ascii="仿宋_GB2312" w:eastAsia="仿宋_GB2312" w:cs="宋体" w:hAnsiTheme="minorEastAsia"/>
          <w:sz w:val="32"/>
          <w:szCs w:val="32"/>
        </w:rPr>
        <w:t>.</w:t>
      </w:r>
      <w:r>
        <w:rPr>
          <w:rFonts w:hint="eastAsia" w:ascii="仿宋_GB2312" w:eastAsia="仿宋_GB2312" w:cs="宋体" w:hAnsiTheme="minorEastAsia"/>
          <w:sz w:val="32"/>
          <w:szCs w:val="32"/>
        </w:rPr>
        <w:t>在观测场周边200米范围内修建铁路；</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4</w:t>
      </w:r>
      <w:r>
        <w:rPr>
          <w:rFonts w:ascii="仿宋_GB2312" w:eastAsia="仿宋_GB2312" w:cs="宋体" w:hAnsiTheme="minorEastAsia"/>
          <w:sz w:val="32"/>
          <w:szCs w:val="32"/>
        </w:rPr>
        <w:t>.</w:t>
      </w:r>
      <w:r>
        <w:rPr>
          <w:rFonts w:hint="eastAsia" w:ascii="仿宋_GB2312" w:eastAsia="仿宋_GB2312" w:cs="宋体" w:hAnsiTheme="minorEastAsia"/>
          <w:sz w:val="32"/>
          <w:szCs w:val="32"/>
        </w:rPr>
        <w:t>在观测场周边100米范围内挖筑水塘等；</w:t>
      </w:r>
    </w:p>
    <w:p>
      <w:pPr>
        <w:spacing w:line="584" w:lineRule="exact"/>
        <w:ind w:firstLine="640" w:firstLineChars="200"/>
        <w:rPr>
          <w:rFonts w:ascii="仿宋_GB2312" w:eastAsia="仿宋_GB2312" w:cs="宋体" w:hAnsiTheme="minorEastAsia"/>
          <w:sz w:val="32"/>
          <w:szCs w:val="32"/>
        </w:rPr>
      </w:pPr>
      <w:r>
        <w:rPr>
          <w:rFonts w:hint="eastAsia" w:ascii="仿宋_GB2312" w:eastAsia="仿宋_GB2312" w:cs="宋体" w:hAnsiTheme="minorEastAsia"/>
          <w:sz w:val="32"/>
          <w:szCs w:val="32"/>
        </w:rPr>
        <w:t>5</w:t>
      </w:r>
      <w:r>
        <w:rPr>
          <w:rFonts w:ascii="仿宋_GB2312" w:eastAsia="仿宋_GB2312" w:cs="宋体" w:hAnsiTheme="minorEastAsia"/>
          <w:sz w:val="32"/>
          <w:szCs w:val="32"/>
        </w:rPr>
        <w:t>.</w:t>
      </w:r>
      <w:r>
        <w:rPr>
          <w:rFonts w:hint="eastAsia" w:ascii="仿宋_GB2312" w:eastAsia="仿宋_GB2312" w:cs="宋体" w:hAnsiTheme="minorEastAsia"/>
          <w:sz w:val="32"/>
          <w:szCs w:val="32"/>
        </w:rPr>
        <w:t>在观测场周边50米范围内修建公路、种植高度超过1米的树木和作物等。</w:t>
      </w:r>
    </w:p>
    <w:p>
      <w:pPr>
        <w:widowControl/>
        <w:shd w:val="clear" w:color="auto" w:fill="FFFFFF"/>
        <w:spacing w:line="480" w:lineRule="atLeast"/>
        <w:ind w:firstLine="480"/>
        <w:rPr>
          <w:rFonts w:ascii="仿宋_GB2312" w:eastAsia="仿宋_GB2312" w:cs="宋体" w:hAnsiTheme="minorEastAsia"/>
          <w:sz w:val="32"/>
          <w:szCs w:val="32"/>
        </w:rPr>
      </w:pPr>
      <w:r>
        <w:rPr>
          <w:rFonts w:hint="eastAsia" w:ascii="仿宋_GB2312" w:eastAsia="仿宋_GB2312" w:hAnsiTheme="minorEastAsia"/>
          <w:sz w:val="32"/>
          <w:szCs w:val="32"/>
        </w:rPr>
        <w:t>临清国家基本气象站距观测场围栏不同距离障碍物控制高度、日出及日落方向区域内不同距离障碍物控制高度见附表5。</w:t>
      </w:r>
    </w:p>
    <w:p>
      <w:pPr>
        <w:pStyle w:val="2"/>
        <w:spacing w:line="584" w:lineRule="exact"/>
        <w:ind w:firstLine="640"/>
        <w:rPr>
          <w:rFonts w:ascii="仿宋_GB2312" w:eastAsia="仿宋_GB2312" w:hAnsiTheme="minorEastAsia"/>
          <w:sz w:val="32"/>
          <w:szCs w:val="32"/>
        </w:rPr>
      </w:pPr>
      <w:r>
        <w:rPr>
          <w:rFonts w:hint="eastAsia" w:ascii="仿宋_GB2312" w:eastAsia="仿宋_GB2312" w:hAnsiTheme="minorEastAsia"/>
          <w:sz w:val="32"/>
          <w:szCs w:val="32"/>
        </w:rPr>
        <w:br w:type="page"/>
      </w:r>
    </w:p>
    <w:p>
      <w:bookmarkStart w:id="29" w:name="_Toc207429698"/>
      <w:bookmarkStart w:id="30" w:name="_Toc135917296"/>
    </w:p>
    <w:p>
      <w:pPr>
        <w:pStyle w:val="16"/>
        <w:overflowPunct w:val="0"/>
        <w:topLinePunct/>
        <w:spacing w:before="0" w:after="0" w:line="584" w:lineRule="exact"/>
        <w:ind w:firstLine="422"/>
        <w:jc w:val="center"/>
        <w:rPr>
          <w:rFonts w:ascii="黑体" w:hAnsi="黑体" w:eastAsia="黑体"/>
          <w:b w:val="0"/>
          <w:szCs w:val="32"/>
        </w:rPr>
      </w:pPr>
      <w:bookmarkStart w:id="31" w:name="_Toc146635375"/>
      <w:r>
        <w:rPr>
          <w:rFonts w:hint="eastAsia" w:ascii="黑体" w:hAnsi="黑体" w:eastAsia="黑体"/>
          <w:b w:val="0"/>
          <w:szCs w:val="32"/>
        </w:rPr>
        <w:t>第五章  规划实施</w:t>
      </w:r>
      <w:bookmarkEnd w:id="29"/>
      <w:bookmarkEnd w:id="30"/>
      <w:bookmarkEnd w:id="31"/>
    </w:p>
    <w:p>
      <w:pPr>
        <w:spacing w:line="584" w:lineRule="exact"/>
        <w:rPr>
          <w:rFonts w:ascii="仿宋_GB2312" w:eastAsia="仿宋_GB2312" w:hAnsiTheme="minorEastAsia"/>
          <w:sz w:val="32"/>
          <w:szCs w:val="32"/>
        </w:rPr>
      </w:pPr>
      <w:bookmarkStart w:id="32" w:name="_Toc217208386"/>
      <w:bookmarkEnd w:id="32"/>
      <w:bookmarkStart w:id="33" w:name="_Toc207429699"/>
      <w:bookmarkEnd w:id="33"/>
      <w:bookmarkStart w:id="34" w:name="_Toc135917297"/>
    </w:p>
    <w:p>
      <w:pPr>
        <w:pStyle w:val="16"/>
        <w:numPr>
          <w:ilvl w:val="0"/>
          <w:numId w:val="6"/>
        </w:numPr>
        <w:overflowPunct w:val="0"/>
        <w:topLinePunct/>
        <w:spacing w:before="0" w:after="0" w:line="584" w:lineRule="exact"/>
        <w:jc w:val="center"/>
        <w:outlineLvl w:val="1"/>
        <w:rPr>
          <w:rFonts w:ascii="楷体_GB2312" w:eastAsia="楷体_GB2312" w:hAnsiTheme="minorEastAsia"/>
          <w:b w:val="0"/>
          <w:szCs w:val="32"/>
        </w:rPr>
      </w:pPr>
      <w:bookmarkStart w:id="35" w:name="_Toc146635376"/>
      <w:r>
        <w:rPr>
          <w:rFonts w:hint="eastAsia" w:ascii="楷体_GB2312" w:eastAsia="楷体_GB2312" w:hAnsiTheme="minorEastAsia"/>
          <w:b w:val="0"/>
          <w:szCs w:val="32"/>
        </w:rPr>
        <w:t>气象部门和有关部门职责</w:t>
      </w:r>
      <w:bookmarkEnd w:id="34"/>
      <w:bookmarkEnd w:id="35"/>
    </w:p>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临清市气象局在聊城市气象局和临清市人民政府领导下，负责管理本行政区域内气象探测环境保护和监督管理工作。</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市发展和改革局、市工业和信息化局、市自然资源和规划局、市住房和城乡建设局、市行政审批服务局、聊城市生态环境局临清市分局等有关部门按照职责分工做好气象设施和气象探测环境保护的有关工作。</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市自然资源和规划局、市行政审批服务局利用国土空间总体规划的调整涉及气象设施和气象探测环境保护专项规划的应当征求气象主管机构的意见。</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市发展和改革局、市工业和信息化局、市自然资源和规划局、市住房和城乡建设局、市行政审批服务局、聊城市生态环境局临清市分局等部门,对气象探测环境保护范围内的项目立项、规划许可、环境影响评价等,应当将项目是否符合法律法规规定的气象探测环境保护要求纳入审查内容。</w:t>
      </w:r>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市行政审批服务局对气象探测环境保护范围内的建设项目实施设计方案联合审查时,应当书面征求同级气象主管机构的意见。</w:t>
      </w:r>
    </w:p>
    <w:p>
      <w:pPr>
        <w:pStyle w:val="2"/>
      </w:pPr>
      <w:r>
        <w:br w:type="page"/>
      </w:r>
    </w:p>
    <w:p>
      <w:pPr>
        <w:pStyle w:val="16"/>
        <w:numPr>
          <w:ilvl w:val="0"/>
          <w:numId w:val="6"/>
        </w:numPr>
        <w:overflowPunct w:val="0"/>
        <w:topLinePunct/>
        <w:spacing w:before="0" w:after="0" w:line="584" w:lineRule="exact"/>
        <w:jc w:val="center"/>
        <w:outlineLvl w:val="1"/>
        <w:rPr>
          <w:rFonts w:ascii="楷体_GB2312" w:eastAsia="楷体_GB2312" w:hAnsiTheme="minorEastAsia"/>
          <w:b w:val="0"/>
          <w:szCs w:val="32"/>
        </w:rPr>
      </w:pPr>
      <w:bookmarkStart w:id="36" w:name="_Toc146635377"/>
      <w:r>
        <w:rPr>
          <w:rFonts w:hint="eastAsia" w:ascii="楷体_GB2312" w:eastAsia="楷体_GB2312" w:hAnsiTheme="minorEastAsia"/>
          <w:b w:val="0"/>
          <w:szCs w:val="32"/>
        </w:rPr>
        <w:t>规划实施的建议和措施</w:t>
      </w:r>
      <w:bookmarkEnd w:id="36"/>
    </w:p>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一、本次规划确定的范围内，在用地建设前必须将本次规划提出的气象探测环境保护要求作为项目设计的依据之一。</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二、对气象站探测环境保护应加以重视和政策扶持，将探测环境保护工作予以量化，落到实处。</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三、为使本规划能顺利实施，市级各职能部门要加强合作和协调，共同推进临清国家基本气象站气象探测环境保护的规范化建设。</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四、本规划由临清市气象局会同山东新达工程设计有限公司编制，报临清市人民政府批准并纳入国土空间总体规划。经批准的临清国家基本气象站气象探测环境保护专项规划，任何单位和个人不得擅自变更，国土空间总体规划的调整涉及气象设施和气象探测环境保护专项规划确需变更的，应当征求临清市气象局意见，报临清市人民政府批准。</w:t>
      </w:r>
    </w:p>
    <w:p>
      <w:pPr>
        <w:spacing w:line="584" w:lineRule="exact"/>
        <w:ind w:firstLine="640" w:firstLineChars="200"/>
        <w:rPr>
          <w:rFonts w:ascii="仿宋_GB2312" w:eastAsia="仿宋_GB2312" w:hAnsiTheme="minorEastAsia"/>
          <w:sz w:val="32"/>
          <w:szCs w:val="32"/>
        </w:rPr>
      </w:pPr>
      <w:bookmarkStart w:id="37" w:name="_Toc718"/>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附件1：相关术语解释</w:t>
      </w:r>
      <w:bookmarkEnd w:id="37"/>
    </w:p>
    <w:p>
      <w:pPr>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附件2：表集</w:t>
      </w:r>
    </w:p>
    <w:p>
      <w:pPr>
        <w:spacing w:line="584" w:lineRule="exact"/>
        <w:ind w:firstLine="640" w:firstLineChars="200"/>
        <w:rPr>
          <w:rFonts w:ascii="仿宋_GB2312" w:eastAsia="仿宋_GB2312" w:hAnsiTheme="minorEastAsia"/>
          <w:sz w:val="32"/>
          <w:szCs w:val="32"/>
        </w:rPr>
      </w:pPr>
      <w:bookmarkStart w:id="38" w:name="_Toc7951"/>
      <w:r>
        <w:rPr>
          <w:rFonts w:hint="eastAsia" w:ascii="仿宋_GB2312" w:eastAsia="仿宋_GB2312" w:hAnsiTheme="minorEastAsia"/>
          <w:sz w:val="32"/>
          <w:szCs w:val="32"/>
        </w:rPr>
        <w:t>附件3：图集</w:t>
      </w:r>
      <w:bookmarkEnd w:id="38"/>
    </w:p>
    <w:p>
      <w:pPr>
        <w:widowControl/>
        <w:spacing w:line="584" w:lineRule="exact"/>
        <w:jc w:val="left"/>
        <w:rPr>
          <w:rFonts w:ascii="仿宋_GB2312" w:eastAsia="仿宋_GB2312" w:cs="宋体" w:hAnsiTheme="minorEastAsia"/>
          <w:b/>
          <w:bCs/>
          <w:sz w:val="32"/>
          <w:szCs w:val="32"/>
        </w:rPr>
      </w:pPr>
      <w:r>
        <w:rPr>
          <w:rFonts w:hint="eastAsia" w:ascii="仿宋_GB2312" w:eastAsia="仿宋_GB2312" w:cs="宋体" w:hAnsiTheme="minorEastAsia"/>
          <w:b/>
          <w:bCs/>
          <w:sz w:val="32"/>
          <w:szCs w:val="32"/>
        </w:rPr>
        <w:br w:type="page"/>
      </w:r>
    </w:p>
    <w:p>
      <w:pPr>
        <w:pStyle w:val="16"/>
        <w:spacing w:line="584" w:lineRule="exact"/>
        <w:rPr>
          <w:rFonts w:ascii="黑体" w:hAnsi="黑体" w:eastAsia="黑体"/>
          <w:b w:val="0"/>
          <w:bCs/>
          <w:szCs w:val="32"/>
        </w:rPr>
      </w:pPr>
      <w:bookmarkStart w:id="39" w:name="_Toc146635378"/>
      <w:bookmarkStart w:id="40" w:name="_Toc135917299"/>
      <w:r>
        <w:rPr>
          <w:rFonts w:hint="eastAsia" w:ascii="黑体" w:hAnsi="黑体" w:eastAsia="黑体"/>
          <w:b w:val="0"/>
          <w:bCs/>
          <w:szCs w:val="32"/>
        </w:rPr>
        <w:t>附件1</w:t>
      </w:r>
      <w:bookmarkEnd w:id="39"/>
      <w:bookmarkEnd w:id="40"/>
    </w:p>
    <w:p/>
    <w:p>
      <w:pPr>
        <w:overflowPunct w:val="0"/>
        <w:topLinePunct/>
        <w:spacing w:line="584" w:lineRule="exact"/>
        <w:jc w:val="center"/>
        <w:outlineLvl w:val="1"/>
        <w:rPr>
          <w:rFonts w:ascii="方正小标宋简体" w:eastAsia="方正小标宋简体" w:hAnsiTheme="minorEastAsia"/>
          <w:sz w:val="32"/>
          <w:szCs w:val="32"/>
        </w:rPr>
      </w:pPr>
      <w:bookmarkStart w:id="41" w:name="_Toc146635379"/>
      <w:bookmarkStart w:id="42" w:name="_Toc135917300"/>
      <w:r>
        <w:rPr>
          <w:rFonts w:hint="eastAsia" w:ascii="方正小标宋简体" w:eastAsia="方正小标宋简体" w:hAnsiTheme="minorEastAsia"/>
          <w:sz w:val="32"/>
          <w:szCs w:val="32"/>
        </w:rPr>
        <w:t>相关术语解释</w:t>
      </w:r>
      <w:bookmarkEnd w:id="41"/>
      <w:bookmarkEnd w:id="42"/>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国家基本气象站（简称基本站）：是根据全国气候分析和天气预报的需要所设置的地面气象观测站，大多担负区域或国家气象信息交换任务，是国家天气气候站网中的主体。</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地面气象观测场（简称观测场）：用于安置地面气象观测仪器和设施进行气象观测的专用场地。</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障碍物：观测场以外高于观测场地平面1米以上的建筑物、构筑物、树木、作物等物体。</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高度距离比：障碍物高出观测场地平面以上的高度与该高度点在观测场地平面的投影点距观测场围栏最近点之间的距离之比。</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遮挡仰角：从观测场围栏距障碍物最近点的地面向该障碍物可见的最高点看去，视线与视线所在地平面的投影所形成的夹角。</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日出方向：所在地夏至日的日出方位和冬至日的日出方位之间所形成的夹角区域。</w:t>
      </w:r>
    </w:p>
    <w:p>
      <w:pPr>
        <w:overflowPunct w:val="0"/>
        <w:topLinePunct/>
        <w:spacing w:line="584" w:lineRule="exact"/>
        <w:ind w:firstLine="640" w:firstLineChars="200"/>
        <w:rPr>
          <w:rFonts w:ascii="仿宋_GB2312" w:eastAsia="仿宋_GB2312" w:hAnsiTheme="minorEastAsia"/>
          <w:sz w:val="32"/>
          <w:szCs w:val="32"/>
        </w:rPr>
      </w:pPr>
      <w:r>
        <w:rPr>
          <w:rFonts w:hint="eastAsia" w:ascii="仿宋_GB2312" w:eastAsia="仿宋_GB2312" w:hAnsiTheme="minorEastAsia"/>
          <w:sz w:val="32"/>
          <w:szCs w:val="32"/>
        </w:rPr>
        <w:t>日落方向：所在地夏至日的日没方位和冬至日的日没方位之间所形成的夹角区域。</w:t>
      </w:r>
    </w:p>
    <w:p>
      <w:pPr>
        <w:overflowPunct w:val="0"/>
        <w:topLinePunct/>
        <w:spacing w:line="584" w:lineRule="exact"/>
        <w:ind w:firstLine="640" w:firstLineChars="200"/>
        <w:rPr>
          <w:rFonts w:ascii="仿宋_GB2312" w:eastAsia="仿宋_GB2312"/>
          <w:sz w:val="32"/>
          <w:szCs w:val="32"/>
        </w:rPr>
      </w:pPr>
      <w:r>
        <w:rPr>
          <w:rFonts w:hint="eastAsia" w:ascii="仿宋_GB2312" w:eastAsia="仿宋_GB2312" w:hAnsiTheme="minorEastAsia"/>
          <w:sz w:val="32"/>
          <w:szCs w:val="32"/>
        </w:rPr>
        <w:t>影响源：对气象要素代表性或气象仪器测量性能有影响的各类源体。（注：主要包括热源、污染源、辐射源、电磁干扰源等，如铁路、公路、水体、垃圾场、排污口等。）</w:t>
      </w:r>
      <w:r>
        <w:rPr>
          <w:rFonts w:hint="eastAsia" w:ascii="仿宋_GB2312" w:eastAsia="仿宋_GB2312"/>
          <w:sz w:val="32"/>
          <w:szCs w:val="32"/>
        </w:rPr>
        <w:br w:type="page"/>
      </w:r>
    </w:p>
    <w:p>
      <w:pPr>
        <w:pStyle w:val="16"/>
        <w:spacing w:line="360" w:lineRule="auto"/>
        <w:rPr>
          <w:rFonts w:ascii="黑体" w:hAnsi="黑体" w:eastAsia="黑体"/>
          <w:b w:val="0"/>
          <w:bCs/>
        </w:rPr>
      </w:pPr>
      <w:bookmarkStart w:id="43" w:name="_Toc146635380"/>
      <w:bookmarkStart w:id="44" w:name="_Toc217719393"/>
      <w:bookmarkStart w:id="45" w:name="_Toc135917301"/>
      <w:r>
        <w:rPr>
          <w:rFonts w:hint="eastAsia" w:ascii="黑体" w:hAnsi="黑体" w:eastAsia="黑体"/>
          <w:b w:val="0"/>
          <w:bCs/>
        </w:rPr>
        <w:t>附件2</w:t>
      </w:r>
      <w:bookmarkEnd w:id="43"/>
    </w:p>
    <w:p>
      <w:pPr>
        <w:pStyle w:val="6"/>
        <w:spacing w:line="360" w:lineRule="auto"/>
        <w:jc w:val="center"/>
        <w:rPr>
          <w:rFonts w:ascii="方正小标宋简体" w:eastAsia="方正小标宋简体" w:hAnsiTheme="minorEastAsia"/>
          <w:b w:val="0"/>
          <w:bCs w:val="0"/>
          <w:kern w:val="44"/>
        </w:rPr>
      </w:pPr>
      <w:bookmarkStart w:id="46" w:name="_Toc146635381"/>
      <w:r>
        <w:rPr>
          <w:rFonts w:hint="eastAsia" w:ascii="方正小标宋简体" w:eastAsia="方正小标宋简体" w:hAnsiTheme="minorEastAsia"/>
          <w:b w:val="0"/>
          <w:bCs w:val="0"/>
        </w:rPr>
        <w:t>表    集</w:t>
      </w:r>
      <w:bookmarkEnd w:id="44"/>
      <w:bookmarkEnd w:id="45"/>
      <w:bookmarkEnd w:id="46"/>
    </w:p>
    <w:p>
      <w:pPr>
        <w:pStyle w:val="7"/>
        <w:spacing w:line="360" w:lineRule="auto"/>
        <w:rPr>
          <w:rFonts w:ascii="楷体_GB2312" w:eastAsia="楷体_GB2312" w:hAnsiTheme="minorEastAsia"/>
          <w:b w:val="0"/>
          <w:bCs/>
        </w:rPr>
      </w:pPr>
      <w:bookmarkStart w:id="47" w:name="_Toc146635382"/>
      <w:r>
        <w:rPr>
          <w:rFonts w:hint="eastAsia" w:ascii="楷体_GB2312" w:eastAsia="楷体_GB2312" w:hAnsiTheme="minorEastAsia"/>
          <w:b w:val="0"/>
          <w:bCs/>
        </w:rPr>
        <w:t>附表1：气象探测环境保护区内新建建筑物高度</w:t>
      </w:r>
      <w:bookmarkEnd w:id="47"/>
    </w:p>
    <w:tbl>
      <w:tblPr>
        <w:tblStyle w:val="18"/>
        <w:tblW w:w="8903" w:type="dxa"/>
        <w:tblInd w:w="93" w:type="dxa"/>
        <w:tblLayout w:type="fixed"/>
        <w:tblCellMar>
          <w:top w:w="0" w:type="dxa"/>
          <w:left w:w="108" w:type="dxa"/>
          <w:bottom w:w="0" w:type="dxa"/>
          <w:right w:w="108" w:type="dxa"/>
        </w:tblCellMar>
      </w:tblPr>
      <w:tblGrid>
        <w:gridCol w:w="1780"/>
        <w:gridCol w:w="1781"/>
        <w:gridCol w:w="1780"/>
        <w:gridCol w:w="1781"/>
        <w:gridCol w:w="1781"/>
      </w:tblGrid>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 w:val="22"/>
                <w:szCs w:val="22"/>
              </w:rPr>
            </w:pPr>
            <w:r>
              <w:rPr>
                <w:rFonts w:hint="eastAsia" w:cs="宋体" w:asciiTheme="minorEastAsia" w:hAnsiTheme="minorEastAsia" w:eastAsiaTheme="minorEastAsia"/>
                <w:color w:val="000000"/>
                <w:kern w:val="0"/>
                <w:sz w:val="22"/>
                <w:szCs w:val="22"/>
                <w:lang w:bidi="ar"/>
              </w:rPr>
              <w:t>地块编号</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 w:val="22"/>
                <w:szCs w:val="22"/>
              </w:rPr>
            </w:pPr>
            <w:r>
              <w:rPr>
                <w:rFonts w:hint="eastAsia" w:cs="宋体" w:asciiTheme="minorEastAsia" w:hAnsiTheme="minorEastAsia" w:eastAsiaTheme="minorEastAsia"/>
                <w:color w:val="000000"/>
                <w:kern w:val="0"/>
                <w:sz w:val="22"/>
                <w:szCs w:val="22"/>
                <w:lang w:bidi="ar"/>
              </w:rPr>
              <w:t>用地代码</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 w:val="22"/>
                <w:szCs w:val="22"/>
              </w:rPr>
            </w:pPr>
            <w:r>
              <w:rPr>
                <w:rFonts w:hint="eastAsia" w:cs="宋体" w:asciiTheme="minorEastAsia" w:hAnsiTheme="minorEastAsia" w:eastAsiaTheme="minorEastAsia"/>
                <w:color w:val="000000"/>
                <w:kern w:val="0"/>
                <w:sz w:val="22"/>
                <w:szCs w:val="22"/>
                <w:lang w:bidi="ar"/>
              </w:rPr>
              <w:t>用地性质</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2"/>
                <w:szCs w:val="22"/>
              </w:rPr>
            </w:pPr>
            <w:r>
              <w:rPr>
                <w:rFonts w:hint="eastAsia" w:cs="宋体" w:asciiTheme="minorEastAsia" w:hAnsiTheme="minorEastAsia" w:eastAsiaTheme="minorEastAsia"/>
                <w:color w:val="000000"/>
                <w:kern w:val="0"/>
                <w:sz w:val="22"/>
                <w:szCs w:val="22"/>
                <w:lang w:bidi="ar"/>
              </w:rPr>
              <w:t>气象探测环境要求限高（m)（上限）</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 w:val="22"/>
                <w:szCs w:val="22"/>
              </w:rPr>
            </w:pPr>
            <w:r>
              <w:rPr>
                <w:rFonts w:hint="eastAsia" w:cs="宋体" w:asciiTheme="minorEastAsia" w:hAnsiTheme="minorEastAsia" w:eastAsiaTheme="minorEastAsia"/>
                <w:color w:val="000000"/>
                <w:kern w:val="0"/>
                <w:sz w:val="22"/>
                <w:szCs w:val="22"/>
                <w:lang w:bidi="ar"/>
              </w:rPr>
              <w:t>用地影响评价</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A-01-01</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行政办公用地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高度限制</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A-03-02</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30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高度限制</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A-04-03</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40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高度限制</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A-05-04</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50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高度限制</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A-06-05</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60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高度限制</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A-06-06</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G1</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公园绿地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60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A-07-07</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70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高度限制</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A-07-08</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A33</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中小学用地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70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A-07-09</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G1</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公园绿地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70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A-07-10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二类工业用地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70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A-07-11</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A22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文化活动用地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70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A-08-12</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B1</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商业用地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80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A-08-13</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二类工业用地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80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A-08-14</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80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A-08-15</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A33</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中小学用地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80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A-08-16</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行政办公用地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80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A-08-17</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80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A-09-18</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90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A-09-19</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A33</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中小学用地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90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A-09-20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二类工业用地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90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A-10-21</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二类工业用地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A-10-22</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B1</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商业用地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A-10-23</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B2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商务用地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A-10-24</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R2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A-10-25</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A33</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中小学用地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A-10-26</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A22</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文化活动用地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r>
        <w:tblPrEx>
          <w:tblCellMar>
            <w:top w:w="0" w:type="dxa"/>
            <w:left w:w="108" w:type="dxa"/>
            <w:bottom w:w="0" w:type="dxa"/>
            <w:right w:w="108" w:type="dxa"/>
          </w:tblCellMar>
        </w:tblPrEx>
        <w:trPr>
          <w:trHeight w:val="851" w:hRule="exac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A-10-27</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U</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公用设施用地</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无影响</w:t>
            </w:r>
          </w:p>
        </w:tc>
      </w:tr>
    </w:tbl>
    <w:p>
      <w:pPr>
        <w:spacing w:line="360" w:lineRule="auto"/>
        <w:rPr>
          <w:rFonts w:asciiTheme="minorEastAsia" w:hAnsiTheme="minorEastAsia" w:eastAsiaTheme="minorEastAsia"/>
        </w:rPr>
      </w:pPr>
    </w:p>
    <w:p>
      <w:pPr>
        <w:pStyle w:val="2"/>
        <w:spacing w:line="360" w:lineRule="auto"/>
        <w:rPr>
          <w:rFonts w:asciiTheme="minorEastAsia" w:hAnsiTheme="minorEastAsia" w:eastAsiaTheme="minorEastAsia"/>
          <w:sz w:val="32"/>
        </w:rPr>
      </w:pPr>
      <w:r>
        <w:rPr>
          <w:rFonts w:asciiTheme="minorEastAsia" w:hAnsiTheme="minorEastAsia" w:eastAsiaTheme="minorEastAsia"/>
        </w:rPr>
        <w:br w:type="page"/>
      </w:r>
    </w:p>
    <w:p>
      <w:pPr>
        <w:pStyle w:val="7"/>
        <w:spacing w:line="360" w:lineRule="auto"/>
        <w:rPr>
          <w:rFonts w:ascii="楷体_GB2312" w:eastAsia="楷体_GB2312" w:hAnsiTheme="minorEastAsia"/>
          <w:b w:val="0"/>
          <w:bCs/>
        </w:rPr>
      </w:pPr>
      <w:bookmarkStart w:id="48" w:name="_Toc146635383"/>
      <w:r>
        <w:rPr>
          <w:rFonts w:hint="eastAsia" w:ascii="楷体_GB2312" w:eastAsia="楷体_GB2312" w:hAnsiTheme="minorEastAsia"/>
          <w:b w:val="0"/>
          <w:bCs/>
        </w:rPr>
        <w:t>附表2：临清国家基本气象站周边现状情况表</w:t>
      </w:r>
      <w:bookmarkEnd w:id="48"/>
    </w:p>
    <w:tbl>
      <w:tblPr>
        <w:tblStyle w:val="18"/>
        <w:tblW w:w="9949" w:type="dxa"/>
        <w:jc w:val="center"/>
        <w:tblLayout w:type="fixed"/>
        <w:tblCellMar>
          <w:top w:w="0" w:type="dxa"/>
          <w:left w:w="108" w:type="dxa"/>
          <w:bottom w:w="0" w:type="dxa"/>
          <w:right w:w="108" w:type="dxa"/>
        </w:tblCellMar>
      </w:tblPr>
      <w:tblGrid>
        <w:gridCol w:w="1989"/>
        <w:gridCol w:w="1990"/>
        <w:gridCol w:w="1990"/>
        <w:gridCol w:w="1990"/>
        <w:gridCol w:w="1990"/>
      </w:tblGrid>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Style w:val="23"/>
                <w:rFonts w:hint="default" w:asciiTheme="minorEastAsia" w:hAnsiTheme="minorEastAsia" w:eastAsiaTheme="minorEastAsia"/>
                <w:sz w:val="20"/>
                <w:szCs w:val="20"/>
                <w:lang w:bidi="ar"/>
              </w:rPr>
              <w:t>距离</w:t>
            </w:r>
            <w:r>
              <w:rPr>
                <w:rStyle w:val="24"/>
                <w:rFonts w:hint="default" w:asciiTheme="minorEastAsia" w:hAnsiTheme="minorEastAsia" w:eastAsiaTheme="minorEastAsia"/>
                <w:sz w:val="20"/>
                <w:szCs w:val="20"/>
                <w:lang w:bidi="ar"/>
              </w:rPr>
              <w:t xml:space="preserve">    方位</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东（60.5°-119.5°）</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南（119.5°-240.5°）</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西（240.5°-299.5°）</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北（299.5°-60.5°）</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0-100m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行政办公用地、农用地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行政办公用地、农用地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行政办公用地、农用地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行政办公用地</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100-200m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行政办公用地、农用地、河流</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200-300m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农用地、河流、道路用地、行政办公用地、农村宅基地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300-400m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400-500m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农用地、河流、工业用地</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500-600m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农用地、道路用地、农村宅基地、工业用地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农用地、河流、工业用地、农村宅基地、行政办公用地</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600-700m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农用地、道路用地、农村宅基地、工业用地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农用地、河流、工业用地、农村宅基地、行政办公用地</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700-800m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农用地、河流、工业用地、农村宅基地、教育用地</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800-900m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农用地、道路用地、工业用地、行政办公用地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农用地、河流、工业用地、农村宅基地、教育用地</w:t>
            </w:r>
          </w:p>
        </w:tc>
      </w:tr>
      <w:tr>
        <w:tblPrEx>
          <w:tblCellMar>
            <w:top w:w="0" w:type="dxa"/>
            <w:left w:w="108" w:type="dxa"/>
            <w:bottom w:w="0" w:type="dxa"/>
            <w:right w:w="108" w:type="dxa"/>
          </w:tblCellMar>
        </w:tblPrEx>
        <w:trPr>
          <w:trHeight w:val="2268" w:hRule="exact"/>
          <w:jc w:val="center"/>
        </w:trPr>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900-1000m</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农用地、河流、道路用地、农村宅基地、工业用地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农用地、道路用地、工业用地、行政办公用地</w:t>
            </w:r>
          </w:p>
        </w:tc>
        <w:tc>
          <w:tcPr>
            <w:tcW w:w="1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lang w:bidi="ar"/>
              </w:rPr>
              <w:t>农用地、河流、工业用地、农村宅基地、教育用地</w:t>
            </w:r>
          </w:p>
        </w:tc>
      </w:tr>
    </w:tbl>
    <w:p>
      <w:pPr>
        <w:pStyle w:val="7"/>
        <w:spacing w:line="360" w:lineRule="auto"/>
        <w:rPr>
          <w:rFonts w:ascii="楷体_GB2312" w:eastAsia="楷体_GB2312" w:hAnsiTheme="minorEastAsia"/>
          <w:b w:val="0"/>
          <w:bCs/>
        </w:rPr>
      </w:pPr>
      <w:bookmarkStart w:id="49" w:name="_Toc146635384"/>
      <w:r>
        <w:rPr>
          <w:rFonts w:hint="eastAsia" w:ascii="楷体_GB2312" w:eastAsia="楷体_GB2312" w:hAnsiTheme="minorEastAsia"/>
          <w:b w:val="0"/>
          <w:bCs/>
        </w:rPr>
        <w:t>附表3：</w:t>
      </w:r>
      <w:r>
        <w:rPr>
          <w:rFonts w:hint="eastAsia" w:ascii="楷体_GB2312" w:eastAsia="楷体_GB2312" w:hAnsiTheme="minorEastAsia"/>
          <w:b w:val="0"/>
          <w:bCs/>
          <w:sz w:val="28"/>
          <w:szCs w:val="22"/>
        </w:rPr>
        <w:t>临清国家基本气象站控制区内障碍物、影响源的限制要求</w:t>
      </w:r>
      <w:bookmarkEnd w:id="49"/>
    </w:p>
    <w:tbl>
      <w:tblPr>
        <w:tblStyle w:val="18"/>
        <w:tblW w:w="9360" w:type="dxa"/>
        <w:tblInd w:w="0" w:type="dxa"/>
        <w:tblLayout w:type="autofit"/>
        <w:tblCellMar>
          <w:top w:w="0" w:type="dxa"/>
          <w:left w:w="108" w:type="dxa"/>
          <w:bottom w:w="0" w:type="dxa"/>
          <w:right w:w="108" w:type="dxa"/>
        </w:tblCellMar>
      </w:tblPr>
      <w:tblGrid>
        <w:gridCol w:w="541"/>
        <w:gridCol w:w="423"/>
        <w:gridCol w:w="2362"/>
        <w:gridCol w:w="413"/>
        <w:gridCol w:w="267"/>
        <w:gridCol w:w="531"/>
        <w:gridCol w:w="698"/>
        <w:gridCol w:w="709"/>
        <w:gridCol w:w="622"/>
        <w:gridCol w:w="539"/>
        <w:gridCol w:w="539"/>
        <w:gridCol w:w="539"/>
        <w:gridCol w:w="539"/>
        <w:gridCol w:w="638"/>
      </w:tblGrid>
      <w:tr>
        <w:tblPrEx>
          <w:tblCellMar>
            <w:top w:w="0" w:type="dxa"/>
            <w:left w:w="108" w:type="dxa"/>
            <w:bottom w:w="0" w:type="dxa"/>
            <w:right w:w="108" w:type="dxa"/>
          </w:tblCellMar>
        </w:tblPrEx>
        <w:trPr>
          <w:trHeight w:val="285" w:hRule="atLeast"/>
        </w:trPr>
        <w:tc>
          <w:tcPr>
            <w:tcW w:w="541" w:type="dxa"/>
            <w:vMerge w:val="restart"/>
            <w:tcBorders>
              <w:top w:val="single" w:color="auto" w:sz="8" w:space="0"/>
              <w:left w:val="single" w:color="auto" w:sz="8"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地面气象观测场围栏</w:t>
            </w:r>
          </w:p>
        </w:tc>
        <w:tc>
          <w:tcPr>
            <w:tcW w:w="423"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与障碍物距离</w:t>
            </w:r>
          </w:p>
        </w:tc>
        <w:tc>
          <w:tcPr>
            <w:tcW w:w="8396" w:type="dxa"/>
            <w:gridSpan w:val="12"/>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建筑高度控制要求：</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2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96" w:type="dxa"/>
            <w:gridSpan w:val="12"/>
            <w:tcBorders>
              <w:top w:val="single" w:color="auto" w:sz="4" w:space="0"/>
              <w:left w:val="nil"/>
              <w:bottom w:val="single" w:color="auto" w:sz="4"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1.以气象观测站观测场围栏以外四周向外延伸1000米范围为障碍物控制区；</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2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96" w:type="dxa"/>
            <w:gridSpan w:val="12"/>
            <w:tcBorders>
              <w:top w:val="single" w:color="auto" w:sz="4" w:space="0"/>
              <w:left w:val="nil"/>
              <w:bottom w:val="single" w:color="auto" w:sz="4"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2.控制区内障碍物任一点的高度距离比小于1/10;</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2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96" w:type="dxa"/>
            <w:gridSpan w:val="12"/>
            <w:tcBorders>
              <w:top w:val="single" w:color="auto" w:sz="4" w:space="0"/>
              <w:left w:val="nil"/>
              <w:bottom w:val="single" w:color="auto" w:sz="4"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3.控制区内障碍物与观测场围栏最近距离不小于50米；</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2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96" w:type="dxa"/>
            <w:gridSpan w:val="12"/>
            <w:tcBorders>
              <w:top w:val="single" w:color="auto" w:sz="4" w:space="0"/>
              <w:left w:val="nil"/>
              <w:bottom w:val="single" w:color="auto" w:sz="4"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4.在日出、日落方向，障碍物遮挡仰角≤5°；四周障碍物不得遮挡仪器感应面。</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2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3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距离（米）</w:t>
            </w:r>
          </w:p>
        </w:tc>
        <w:tc>
          <w:tcPr>
            <w:tcW w:w="680" w:type="dxa"/>
            <w:gridSpan w:val="2"/>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50</w:t>
            </w:r>
          </w:p>
        </w:tc>
        <w:tc>
          <w:tcPr>
            <w:tcW w:w="531"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100</w:t>
            </w:r>
          </w:p>
        </w:tc>
        <w:tc>
          <w:tcPr>
            <w:tcW w:w="698"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200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300</w:t>
            </w:r>
          </w:p>
        </w:tc>
        <w:tc>
          <w:tcPr>
            <w:tcW w:w="622"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400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500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600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700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800</w:t>
            </w:r>
          </w:p>
        </w:tc>
        <w:tc>
          <w:tcPr>
            <w:tcW w:w="638" w:type="dxa"/>
            <w:tcBorders>
              <w:top w:val="nil"/>
              <w:left w:val="nil"/>
              <w:bottom w:val="single" w:color="auto" w:sz="4" w:space="0"/>
              <w:right w:val="single" w:color="auto" w:sz="8"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1000</w:t>
            </w:r>
          </w:p>
        </w:tc>
      </w:tr>
      <w:tr>
        <w:tblPrEx>
          <w:tblCellMar>
            <w:top w:w="0" w:type="dxa"/>
            <w:left w:w="108" w:type="dxa"/>
            <w:bottom w:w="0" w:type="dxa"/>
            <w:right w:w="108" w:type="dxa"/>
          </w:tblCellMar>
        </w:tblPrEx>
        <w:trPr>
          <w:trHeight w:val="450"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2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3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障碍物限制高度（米）</w:t>
            </w:r>
          </w:p>
        </w:tc>
        <w:tc>
          <w:tcPr>
            <w:tcW w:w="680" w:type="dxa"/>
            <w:gridSpan w:val="2"/>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5.0 </w:t>
            </w:r>
          </w:p>
        </w:tc>
        <w:tc>
          <w:tcPr>
            <w:tcW w:w="531"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10.0 </w:t>
            </w:r>
          </w:p>
        </w:tc>
        <w:tc>
          <w:tcPr>
            <w:tcW w:w="698"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20.0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30.0 </w:t>
            </w:r>
          </w:p>
        </w:tc>
        <w:tc>
          <w:tcPr>
            <w:tcW w:w="622"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40.0 </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50.0 </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60.0 </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70.0 </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80.0 </w:t>
            </w:r>
          </w:p>
        </w:tc>
        <w:tc>
          <w:tcPr>
            <w:tcW w:w="638" w:type="dxa"/>
            <w:tcBorders>
              <w:top w:val="nil"/>
              <w:left w:val="nil"/>
              <w:bottom w:val="single" w:color="auto" w:sz="4" w:space="0"/>
              <w:right w:val="single" w:color="auto" w:sz="8"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100.0 </w:t>
            </w:r>
          </w:p>
        </w:tc>
      </w:tr>
      <w:tr>
        <w:tblPrEx>
          <w:tblCellMar>
            <w:top w:w="0" w:type="dxa"/>
            <w:left w:w="108" w:type="dxa"/>
            <w:bottom w:w="0" w:type="dxa"/>
            <w:right w:w="108" w:type="dxa"/>
          </w:tblCellMar>
        </w:tblPrEx>
        <w:trPr>
          <w:trHeight w:val="900"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2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3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日出日落方向障碍物限制高度（米）</w:t>
            </w:r>
          </w:p>
        </w:tc>
        <w:tc>
          <w:tcPr>
            <w:tcW w:w="680" w:type="dxa"/>
            <w:gridSpan w:val="2"/>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4.3 </w:t>
            </w:r>
          </w:p>
        </w:tc>
        <w:tc>
          <w:tcPr>
            <w:tcW w:w="531"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8.7 </w:t>
            </w:r>
          </w:p>
        </w:tc>
        <w:tc>
          <w:tcPr>
            <w:tcW w:w="698"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17.4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26.2 </w:t>
            </w:r>
          </w:p>
        </w:tc>
        <w:tc>
          <w:tcPr>
            <w:tcW w:w="622"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34.9 </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43.7 </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52.4 </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61.2 </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69.9 </w:t>
            </w:r>
          </w:p>
        </w:tc>
        <w:tc>
          <w:tcPr>
            <w:tcW w:w="638" w:type="dxa"/>
            <w:tcBorders>
              <w:top w:val="nil"/>
              <w:left w:val="nil"/>
              <w:bottom w:val="single" w:color="auto" w:sz="4" w:space="0"/>
              <w:right w:val="single" w:color="auto" w:sz="8" w:space="0"/>
            </w:tcBorders>
            <w:shd w:val="clear" w:color="auto" w:fill="auto"/>
            <w:vAlign w:val="center"/>
          </w:tcPr>
          <w:p>
            <w:pPr>
              <w:widowControl/>
              <w:jc w:val="center"/>
              <w:rPr>
                <w:rFonts w:eastAsia="等线"/>
                <w:color w:val="000000"/>
                <w:kern w:val="0"/>
                <w:sz w:val="18"/>
                <w:szCs w:val="18"/>
              </w:rPr>
            </w:pPr>
            <w:r>
              <w:rPr>
                <w:rFonts w:eastAsia="等线"/>
                <w:color w:val="000000"/>
                <w:kern w:val="0"/>
                <w:sz w:val="18"/>
                <w:szCs w:val="18"/>
              </w:rPr>
              <w:t xml:space="preserve">87.4 </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423"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96" w:type="dxa"/>
            <w:gridSpan w:val="12"/>
            <w:tcBorders>
              <w:top w:val="single" w:color="auto" w:sz="4" w:space="0"/>
              <w:left w:val="nil"/>
              <w:bottom w:val="single" w:color="auto" w:sz="4"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注：障碍物限制高度为障碍物最高点高出观测场地面的相对高度。</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319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与作物、树木距离</w:t>
            </w:r>
          </w:p>
        </w:tc>
        <w:tc>
          <w:tcPr>
            <w:tcW w:w="5621" w:type="dxa"/>
            <w:gridSpan w:val="10"/>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观测场四周50米范围内不得种植高于1米的作物、树木</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319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与公路路基距离</w:t>
            </w:r>
          </w:p>
        </w:tc>
        <w:tc>
          <w:tcPr>
            <w:tcW w:w="5621" w:type="dxa"/>
            <w:gridSpan w:val="10"/>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＞50米</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319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与人工建造的水塘</w:t>
            </w:r>
          </w:p>
        </w:tc>
        <w:tc>
          <w:tcPr>
            <w:tcW w:w="5621" w:type="dxa"/>
            <w:gridSpan w:val="10"/>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color w:val="000000"/>
                <w:kern w:val="0"/>
                <w:sz w:val="18"/>
                <w:szCs w:val="18"/>
              </w:rPr>
              <w:t>100</w:t>
            </w:r>
            <w:r>
              <w:rPr>
                <w:rFonts w:hint="eastAsia" w:ascii="宋体" w:hAnsi="宋体" w:cs="宋体"/>
                <w:color w:val="000000"/>
                <w:kern w:val="0"/>
                <w:sz w:val="18"/>
                <w:szCs w:val="18"/>
              </w:rPr>
              <w:t>米</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319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与铁路路基距离</w:t>
            </w:r>
          </w:p>
        </w:tc>
        <w:tc>
          <w:tcPr>
            <w:tcW w:w="5621" w:type="dxa"/>
            <w:gridSpan w:val="10"/>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color w:val="000000"/>
                <w:kern w:val="0"/>
                <w:sz w:val="18"/>
                <w:szCs w:val="18"/>
              </w:rPr>
              <w:t>200</w:t>
            </w:r>
            <w:r>
              <w:rPr>
                <w:rFonts w:hint="eastAsia" w:ascii="宋体" w:hAnsi="宋体" w:cs="宋体"/>
                <w:color w:val="000000"/>
                <w:kern w:val="0"/>
                <w:sz w:val="18"/>
                <w:szCs w:val="18"/>
              </w:rPr>
              <w:t>米</w:t>
            </w:r>
          </w:p>
        </w:tc>
      </w:tr>
      <w:tr>
        <w:tblPrEx>
          <w:tblCellMar>
            <w:top w:w="0" w:type="dxa"/>
            <w:left w:w="108" w:type="dxa"/>
            <w:bottom w:w="0" w:type="dxa"/>
            <w:right w:w="108" w:type="dxa"/>
          </w:tblCellMar>
        </w:tblPrEx>
        <w:trPr>
          <w:trHeight w:val="285" w:hRule="atLeast"/>
        </w:trPr>
        <w:tc>
          <w:tcPr>
            <w:tcW w:w="541"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319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与垃圾车、排污口等其他影响源距离</w:t>
            </w:r>
          </w:p>
        </w:tc>
        <w:tc>
          <w:tcPr>
            <w:tcW w:w="5621" w:type="dxa"/>
            <w:gridSpan w:val="10"/>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color w:val="000000"/>
                <w:kern w:val="0"/>
                <w:sz w:val="18"/>
                <w:szCs w:val="18"/>
              </w:rPr>
              <w:t>500</w:t>
            </w:r>
            <w:r>
              <w:rPr>
                <w:rFonts w:hint="eastAsia" w:ascii="宋体" w:hAnsi="宋体" w:cs="宋体"/>
                <w:color w:val="000000"/>
                <w:kern w:val="0"/>
                <w:sz w:val="18"/>
                <w:szCs w:val="18"/>
              </w:rPr>
              <w:t>米</w:t>
            </w:r>
          </w:p>
        </w:tc>
      </w:tr>
      <w:tr>
        <w:tblPrEx>
          <w:tblCellMar>
            <w:top w:w="0" w:type="dxa"/>
            <w:left w:w="108" w:type="dxa"/>
            <w:bottom w:w="0" w:type="dxa"/>
            <w:right w:w="108" w:type="dxa"/>
          </w:tblCellMar>
        </w:tblPrEx>
        <w:trPr>
          <w:trHeight w:val="285" w:hRule="atLeast"/>
        </w:trPr>
        <w:tc>
          <w:tcPr>
            <w:tcW w:w="9360" w:type="dxa"/>
            <w:gridSpan w:val="14"/>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禁止在气象探测环境保护范围内实施下列行为</w:t>
            </w:r>
          </w:p>
        </w:tc>
      </w:tr>
      <w:tr>
        <w:tblPrEx>
          <w:tblCellMar>
            <w:top w:w="0" w:type="dxa"/>
            <w:left w:w="108" w:type="dxa"/>
            <w:bottom w:w="0" w:type="dxa"/>
            <w:right w:w="108" w:type="dxa"/>
          </w:tblCellMar>
        </w:tblPrEx>
        <w:trPr>
          <w:trHeight w:val="285" w:hRule="atLeast"/>
        </w:trPr>
        <w:tc>
          <w:tcPr>
            <w:tcW w:w="9360" w:type="dxa"/>
            <w:gridSpan w:val="14"/>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1.高度不符合要求的建筑物、构筑物以及距离不符合要求的公路、铁路、水塘等；</w:t>
            </w:r>
          </w:p>
        </w:tc>
      </w:tr>
      <w:tr>
        <w:tblPrEx>
          <w:tblCellMar>
            <w:top w:w="0" w:type="dxa"/>
            <w:left w:w="108" w:type="dxa"/>
            <w:bottom w:w="0" w:type="dxa"/>
            <w:right w:w="108" w:type="dxa"/>
          </w:tblCellMar>
        </w:tblPrEx>
        <w:trPr>
          <w:trHeight w:val="285" w:hRule="atLeast"/>
        </w:trPr>
        <w:tc>
          <w:tcPr>
            <w:tcW w:w="9360" w:type="dxa"/>
            <w:gridSpan w:val="14"/>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2.设置影响气象探测设施工作效能和使用功能的高频电磁辐射装置以及垃圾场、排污口等干扰源；</w:t>
            </w:r>
          </w:p>
        </w:tc>
      </w:tr>
      <w:tr>
        <w:tblPrEx>
          <w:tblCellMar>
            <w:top w:w="0" w:type="dxa"/>
            <w:left w:w="108" w:type="dxa"/>
            <w:bottom w:w="0" w:type="dxa"/>
            <w:right w:w="108" w:type="dxa"/>
          </w:tblCellMar>
        </w:tblPrEx>
        <w:trPr>
          <w:trHeight w:val="285" w:hRule="atLeast"/>
        </w:trPr>
        <w:tc>
          <w:tcPr>
            <w:tcW w:w="9360" w:type="dxa"/>
            <w:gridSpan w:val="14"/>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3.种植生长高度不符合要求的作物、树木；</w:t>
            </w:r>
          </w:p>
        </w:tc>
      </w:tr>
      <w:tr>
        <w:tblPrEx>
          <w:tblCellMar>
            <w:top w:w="0" w:type="dxa"/>
            <w:left w:w="108" w:type="dxa"/>
            <w:bottom w:w="0" w:type="dxa"/>
            <w:right w:w="108" w:type="dxa"/>
          </w:tblCellMar>
        </w:tblPrEx>
        <w:trPr>
          <w:trHeight w:val="300" w:hRule="atLeast"/>
        </w:trPr>
        <w:tc>
          <w:tcPr>
            <w:tcW w:w="9360" w:type="dxa"/>
            <w:gridSpan w:val="14"/>
            <w:tcBorders>
              <w:top w:val="single" w:color="auto" w:sz="4" w:space="0"/>
              <w:left w:val="single" w:color="auto" w:sz="8" w:space="0"/>
              <w:bottom w:val="single" w:color="auto" w:sz="8" w:space="0"/>
              <w:right w:val="single" w:color="000000" w:sz="8"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4.其他危害气象探测环境的行为。</w:t>
            </w:r>
          </w:p>
        </w:tc>
      </w:tr>
    </w:tbl>
    <w:p>
      <w:pPr>
        <w:spacing w:line="360" w:lineRule="auto"/>
        <w:jc w:val="center"/>
        <w:rPr>
          <w:rFonts w:cs="宋体" w:asciiTheme="minorEastAsia" w:hAnsiTheme="minorEastAsia" w:eastAsiaTheme="minorEastAsia"/>
          <w:sz w:val="28"/>
          <w:szCs w:val="28"/>
        </w:rPr>
      </w:pPr>
    </w:p>
    <w:p>
      <w:pPr>
        <w:pStyle w:val="2"/>
      </w:pPr>
      <w:r>
        <w:br w:type="page"/>
      </w:r>
    </w:p>
    <w:p>
      <w:pPr>
        <w:pStyle w:val="7"/>
        <w:spacing w:line="360" w:lineRule="auto"/>
        <w:rPr>
          <w:rFonts w:ascii="楷体_GB2312" w:eastAsia="楷体_GB2312" w:hAnsiTheme="minorEastAsia"/>
          <w:b w:val="0"/>
          <w:bCs/>
        </w:rPr>
      </w:pPr>
      <w:bookmarkStart w:id="50" w:name="_Toc146635385"/>
      <w:r>
        <w:rPr>
          <w:rFonts w:hint="eastAsia" w:ascii="楷体_GB2312" w:eastAsia="楷体_GB2312" w:hAnsiTheme="minorEastAsia"/>
          <w:b w:val="0"/>
          <w:bCs/>
        </w:rPr>
        <w:t>附表4：临清国家基本气象站四周用地规划情况表</w:t>
      </w:r>
      <w:bookmarkEnd w:id="50"/>
    </w:p>
    <w:tbl>
      <w:tblPr>
        <w:tblStyle w:val="18"/>
        <w:tblpPr w:leftFromText="180" w:rightFromText="180" w:vertAnchor="text" w:horzAnchor="page" w:tblpX="708" w:tblpY="118"/>
        <w:tblOverlap w:val="never"/>
        <w:tblW w:w="10224" w:type="dxa"/>
        <w:tblInd w:w="0" w:type="dxa"/>
        <w:tblLayout w:type="autofit"/>
        <w:tblCellMar>
          <w:top w:w="0" w:type="dxa"/>
          <w:left w:w="108" w:type="dxa"/>
          <w:bottom w:w="0" w:type="dxa"/>
          <w:right w:w="108" w:type="dxa"/>
        </w:tblCellMar>
      </w:tblPr>
      <w:tblGrid>
        <w:gridCol w:w="2044"/>
        <w:gridCol w:w="2106"/>
        <w:gridCol w:w="2211"/>
        <w:gridCol w:w="2211"/>
        <w:gridCol w:w="2106"/>
      </w:tblGrid>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 w:val="28"/>
                <w:szCs w:val="28"/>
                <w:vertAlign w:val="subscript"/>
                <w:lang w:bidi="ar"/>
              </w:rPr>
              <w:t>距离</w:t>
            </w:r>
            <w:r>
              <w:rPr>
                <w:rStyle w:val="25"/>
                <w:rFonts w:hint="default" w:asciiTheme="minorEastAsia" w:hAnsiTheme="minorEastAsia" w:eastAsiaTheme="minorEastAsia"/>
                <w:sz w:val="28"/>
                <w:szCs w:val="28"/>
                <w:lang w:bidi="ar"/>
              </w:rPr>
              <w:t xml:space="preserve">    方位</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东（60.5°-119.5°）</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南（119.5°-240.5°）</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西（240.5°-299.5°）</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北（299.5°-60.5°）</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0-100m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行政办公用地、农用地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行政办公用地、农用地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行政办公用地、农用地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行政办公用地、农用地</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100-200m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行政办公用地、农用地、河流</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200-300m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农用地、河流、二类居住用地、道路用地</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300-400m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农用地、河流、道路用地、农村宅基地、二类居住用地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二类居住用地、公园绿地、道路用地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农用地、河流、二类居住用地、道路用地</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400-500m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农用地、河流、道路用地、农村宅基地、工业用地、二类居住用地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二类居住用地、公园绿地、道路用地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农用地、河流、二类居住用地、道路用地、公园绿地</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500-600m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农用地、河流、道路用地、农村宅基地、二类居住用地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农用地、河流、道路用地、农村宅基地、工业用地、二类居住用地、公园绿地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二类居住用地、公园绿地、中小学用地、道路用地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农用地、河流、二类居住用地、道路用地、公园绿地、中小学用地</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600-700m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农用地、河流、道路用地、农村宅基地、二类居住用地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二类居住用地、公园绿地、河流、文化设施用地、二类工业用地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二类居住用地、公园绿地、中小学用地、道路用地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农用地、河流、二类居住用地、道路用地、公园绿地、中小学用地</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700-800m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农用地、河流、道路用地、农村宅基地、二类居住用地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中小学用地、二类居住用地、公园绿地、河流、商业用地、公用设施营业网点用地、二类工业用地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二类居住用地、公园绿地、公用设施用地、中小学用地、行政办公用地、道路用地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农用地、河流、二类居住用地、道路用地、公园绿地、中小学用地、行政办公用地</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800-900m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农用地、河流、道路用地、农村宅基地、二类居住用地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中小学用地、商务用地、二类居住用地、公园绿地、河流、商业用地、公用设施营业网点用地、二类工业用地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二类居住用地、公园绿地、公用设施用地、文化设施用地、中小学用地、行政办公用地、道路用地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农用地、河流、二类居住用地、道路用地、公园绿地、中小学用地、行政办公用地、商业用地</w:t>
            </w:r>
          </w:p>
        </w:tc>
      </w:tr>
      <w:tr>
        <w:tblPrEx>
          <w:tblCellMar>
            <w:top w:w="0" w:type="dxa"/>
            <w:left w:w="108" w:type="dxa"/>
            <w:bottom w:w="0" w:type="dxa"/>
            <w:right w:w="108" w:type="dxa"/>
          </w:tblCellMar>
        </w:tblPrEx>
        <w:trPr>
          <w:trHeight w:val="2268" w:hRule="exact"/>
        </w:trPr>
        <w:tc>
          <w:tcPr>
            <w:tcW w:w="2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900-1000m</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农用地、河流、道路用地、农村宅基地、二类居住用地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中小学用地、商务用地、二类居住用地、公园绿地、河流、商业用地、二类工业用地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二类居住用地、公园绿地、公用设施用地、文化设施用地、中小学用地、道路用地</w:t>
            </w:r>
          </w:p>
        </w:tc>
        <w:tc>
          <w:tcPr>
            <w:tcW w:w="20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农用地、河流、二类居住用地、道路用地、公园绿地、中小学用地、行政办公用地、商业用地、公用设施用地</w:t>
            </w:r>
          </w:p>
        </w:tc>
      </w:tr>
    </w:tbl>
    <w:p>
      <w:pPr>
        <w:pStyle w:val="7"/>
        <w:spacing w:line="360" w:lineRule="auto"/>
        <w:rPr>
          <w:rFonts w:ascii="楷体_GB2312" w:eastAsia="楷体_GB2312" w:hAnsiTheme="minorEastAsia"/>
          <w:b w:val="0"/>
          <w:bCs/>
        </w:rPr>
      </w:pPr>
      <w:bookmarkStart w:id="51" w:name="_Toc29831"/>
      <w:bookmarkStart w:id="52" w:name="_Toc146635386"/>
      <w:r>
        <w:rPr>
          <w:rFonts w:hint="eastAsia" w:ascii="楷体_GB2312" w:eastAsia="楷体_GB2312" w:hAnsiTheme="minorEastAsia"/>
          <w:b w:val="0"/>
          <w:bCs/>
        </w:rPr>
        <w:t>附表5：临清国家基本气象站气象探测环境保护区障碍物控制高度表</w:t>
      </w:r>
      <w:bookmarkEnd w:id="51"/>
      <w:bookmarkEnd w:id="52"/>
    </w:p>
    <w:p>
      <w:pPr>
        <w:spacing w:line="360" w:lineRule="auto"/>
        <w:jc w:val="center"/>
        <w:rPr>
          <w:rFonts w:cs="宋体" w:asciiTheme="minorEastAsia" w:hAnsiTheme="minorEastAsia" w:eastAsiaTheme="minorEastAsia"/>
          <w:sz w:val="24"/>
        </w:rPr>
      </w:pPr>
    </w:p>
    <w:tbl>
      <w:tblPr>
        <w:tblStyle w:val="18"/>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2210"/>
        <w:gridCol w:w="3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障碍物距离观测场围栏距离L（米）</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障碍物限制高度H（米）</w:t>
            </w:r>
          </w:p>
        </w:tc>
        <w:tc>
          <w:tcPr>
            <w:tcW w:w="3454"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 xml:space="preserve">日出（60.4°～119.6°） </w:t>
            </w:r>
          </w:p>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日落（240.4°～299.6°）</w:t>
            </w:r>
          </w:p>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方向区域障碍物限制高度H(米)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1</w:t>
            </w:r>
          </w:p>
        </w:tc>
        <w:tc>
          <w:tcPr>
            <w:tcW w:w="3454"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100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10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200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20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300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30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400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40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500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50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600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60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700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70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800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80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900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90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1000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100</w:t>
            </w:r>
          </w:p>
        </w:tc>
        <w:tc>
          <w:tcPr>
            <w:tcW w:w="3454" w:type="dxa"/>
            <w:vAlign w:val="center"/>
          </w:tcPr>
          <w:p>
            <w:pPr>
              <w:overflowPunct w:val="0"/>
              <w:topLinePunct/>
              <w:spacing w:line="360" w:lineRule="auto"/>
              <w:jc w:val="center"/>
              <w:textAlignment w:val="center"/>
              <w:rPr>
                <w:rFonts w:asciiTheme="minorEastAsia" w:hAnsiTheme="minorEastAsia" w:eastAsiaTheme="minorEastAsia"/>
                <w:sz w:val="24"/>
              </w:rPr>
            </w:pPr>
            <w:r>
              <w:rPr>
                <w:rFonts w:hint="eastAsia" w:cs="仿宋_GB2312" w:asciiTheme="minorEastAsia" w:hAnsiTheme="minorEastAsia" w:eastAsiaTheme="minorEastAsia"/>
                <w:color w:val="000000"/>
                <w:kern w:val="0"/>
                <w:sz w:val="24"/>
                <w:lang w:bidi="ar"/>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682" w:type="dxa"/>
            <w:vAlign w:val="center"/>
          </w:tcPr>
          <w:p>
            <w:pPr>
              <w:overflowPunct w:val="0"/>
              <w:topLinePunct/>
              <w:spacing w:line="360" w:lineRule="auto"/>
              <w:ind w:firstLine="960" w:firstLineChars="400"/>
              <w:rPr>
                <w:rFonts w:asciiTheme="minorEastAsia" w:hAnsiTheme="minorEastAsia" w:eastAsiaTheme="minorEastAsia"/>
                <w:sz w:val="24"/>
              </w:rPr>
            </w:pPr>
            <w:r>
              <w:rPr>
                <w:rFonts w:hint="eastAsia" w:asciiTheme="minorEastAsia" w:hAnsiTheme="minorEastAsia" w:eastAsiaTheme="minorEastAsia"/>
                <w:sz w:val="24"/>
              </w:rPr>
              <w:t>＞1000</w:t>
            </w:r>
          </w:p>
        </w:tc>
        <w:tc>
          <w:tcPr>
            <w:tcW w:w="2210" w:type="dxa"/>
            <w:vAlign w:val="center"/>
          </w:tcPr>
          <w:p>
            <w:pPr>
              <w:overflowPunct w:val="0"/>
              <w:topLinePunct/>
              <w:spacing w:line="360" w:lineRule="auto"/>
              <w:jc w:val="center"/>
              <w:rPr>
                <w:rFonts w:asciiTheme="minorEastAsia" w:hAnsiTheme="minorEastAsia" w:eastAsiaTheme="minorEastAsia"/>
                <w:sz w:val="24"/>
              </w:rPr>
            </w:pPr>
            <w:r>
              <w:rPr>
                <w:rFonts w:hint="eastAsia" w:cs="仿宋_GB2312" w:asciiTheme="minorEastAsia" w:hAnsiTheme="minorEastAsia" w:eastAsiaTheme="minorEastAsia"/>
                <w:sz w:val="24"/>
              </w:rPr>
              <w:t>----</w:t>
            </w:r>
          </w:p>
        </w:tc>
        <w:tc>
          <w:tcPr>
            <w:tcW w:w="3454" w:type="dxa"/>
            <w:vAlign w:val="center"/>
          </w:tcPr>
          <w:p>
            <w:pPr>
              <w:overflowPunct w:val="0"/>
              <w:topLinePunct/>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H＝L×tan5°</w:t>
            </w:r>
          </w:p>
        </w:tc>
      </w:tr>
    </w:tbl>
    <w:p>
      <w:pPr>
        <w:overflowPunct w:val="0"/>
        <w:topLinePunct/>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rPr>
        <w:sectPr>
          <w:footerReference r:id="rId9" w:type="default"/>
          <w:pgSz w:w="11906" w:h="16838"/>
          <w:pgMar w:top="1440" w:right="1800" w:bottom="1440" w:left="1800" w:header="851" w:footer="992" w:gutter="0"/>
          <w:pgNumType w:start="1"/>
          <w:cols w:space="425" w:num="1"/>
          <w:docGrid w:type="lines" w:linePitch="312" w:charSpace="0"/>
        </w:sectPr>
      </w:pPr>
      <w:bookmarkStart w:id="53" w:name="_Toc10446"/>
      <w:r>
        <w:rPr>
          <w:rFonts w:hint="eastAsia" w:asciiTheme="minorEastAsia" w:hAnsiTheme="minorEastAsia" w:eastAsiaTheme="minorEastAsia"/>
        </w:rPr>
        <w:t>说明：障碍物控制高度为障碍物最高点相对观测场平面的高度</w:t>
      </w:r>
      <w:bookmarkEnd w:id="53"/>
    </w:p>
    <w:p>
      <w:pPr>
        <w:pStyle w:val="16"/>
        <w:spacing w:line="360" w:lineRule="auto"/>
        <w:rPr>
          <w:rFonts w:ascii="黑体" w:hAnsi="黑体" w:eastAsia="黑体"/>
          <w:b w:val="0"/>
          <w:bCs/>
        </w:rPr>
      </w:pPr>
      <w:bookmarkStart w:id="54" w:name="_Toc146635387"/>
      <w:r>
        <w:rPr>
          <w:rFonts w:hint="eastAsia" w:ascii="黑体" w:hAnsi="黑体" w:eastAsia="黑体"/>
          <w:b w:val="0"/>
          <w:bCs/>
        </w:rPr>
        <w:t>附件3</w:t>
      </w:r>
      <w:bookmarkEnd w:id="54"/>
    </w:p>
    <w:p>
      <w:pPr>
        <w:spacing w:line="360" w:lineRule="auto"/>
        <w:rPr>
          <w:rFonts w:asciiTheme="minorEastAsia" w:hAnsiTheme="minorEastAsia" w:eastAsiaTheme="minorEastAsia"/>
        </w:rPr>
      </w:pPr>
    </w:p>
    <w:p>
      <w:pPr>
        <w:spacing w:line="360" w:lineRule="auto"/>
        <w:rPr>
          <w:rStyle w:val="20"/>
          <w:rFonts w:asciiTheme="minorEastAsia" w:hAnsiTheme="minorEastAsia" w:eastAsiaTheme="minorEastAsia"/>
        </w:rPr>
      </w:pPr>
    </w:p>
    <w:p>
      <w:pPr>
        <w:pStyle w:val="6"/>
        <w:spacing w:line="360" w:lineRule="auto"/>
        <w:jc w:val="center"/>
        <w:rPr>
          <w:rFonts w:ascii="方正小标宋简体" w:eastAsia="方正小标宋简体" w:hAnsiTheme="minorEastAsia"/>
          <w:b w:val="0"/>
          <w:bCs w:val="0"/>
          <w:sz w:val="44"/>
          <w:szCs w:val="44"/>
        </w:rPr>
      </w:pPr>
      <w:bookmarkStart w:id="55" w:name="_Toc146635388"/>
      <w:r>
        <w:rPr>
          <w:rFonts w:hint="eastAsia" w:ascii="方正小标宋简体" w:eastAsia="方正小标宋简体" w:hAnsiTheme="minorEastAsia"/>
          <w:b w:val="0"/>
          <w:bCs w:val="0"/>
          <w:sz w:val="44"/>
          <w:szCs w:val="44"/>
        </w:rPr>
        <w:t>图    集</w:t>
      </w:r>
      <w:bookmarkEnd w:id="55"/>
    </w:p>
    <w:p>
      <w:pPr>
        <w:spacing w:line="360" w:lineRule="auto"/>
        <w:rPr>
          <w:rFonts w:asciiTheme="minorEastAsia" w:hAnsiTheme="minorEastAsia" w:eastAsiaTheme="minorEastAsia"/>
        </w:rPr>
      </w:pPr>
    </w:p>
    <w:p>
      <w:pPr>
        <w:pStyle w:val="7"/>
        <w:spacing w:line="360" w:lineRule="auto"/>
        <w:rPr>
          <w:rFonts w:ascii="楷体_GB2312" w:eastAsia="楷体_GB2312" w:hAnsiTheme="minorEastAsia"/>
          <w:b w:val="0"/>
          <w:bCs/>
        </w:rPr>
      </w:pPr>
      <w:bookmarkStart w:id="56" w:name="_Toc146635389"/>
      <w:r>
        <w:rPr>
          <w:rFonts w:ascii="楷体_GB2312" w:eastAsia="楷体_GB2312" w:hAnsiTheme="minorEastAsia"/>
          <w:b w:val="0"/>
          <w:bCs/>
        </w:rPr>
        <w:drawing>
          <wp:anchor distT="0" distB="0" distL="114300" distR="114300" simplePos="0" relativeHeight="251660288" behindDoc="0" locked="0" layoutInCell="1" allowOverlap="1">
            <wp:simplePos x="0" y="0"/>
            <wp:positionH relativeFrom="margin">
              <wp:posOffset>552450</wp:posOffset>
            </wp:positionH>
            <wp:positionV relativeFrom="paragraph">
              <wp:posOffset>466725</wp:posOffset>
            </wp:positionV>
            <wp:extent cx="8115300" cy="4438650"/>
            <wp:effectExtent l="0" t="0" r="0" b="0"/>
            <wp:wrapTopAndBottom/>
            <wp:docPr id="5" name="图片 5" descr="01区位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1区位分析图"/>
                    <pic:cNvPicPr>
                      <a:picLocks noChangeAspect="1"/>
                    </pic:cNvPicPr>
                  </pic:nvPicPr>
                  <pic:blipFill>
                    <a:blip r:embed="rId11"/>
                    <a:stretch>
                      <a:fillRect/>
                    </a:stretch>
                  </pic:blipFill>
                  <pic:spPr>
                    <a:xfrm>
                      <a:off x="0" y="0"/>
                      <a:ext cx="8115300" cy="4438650"/>
                    </a:xfrm>
                    <a:prstGeom prst="rect">
                      <a:avLst/>
                    </a:prstGeom>
                  </pic:spPr>
                </pic:pic>
              </a:graphicData>
            </a:graphic>
          </wp:anchor>
        </w:drawing>
      </w:r>
      <w:r>
        <w:rPr>
          <w:rFonts w:hint="eastAsia" w:ascii="楷体_GB2312" w:eastAsia="楷体_GB2312" w:hAnsiTheme="minorEastAsia"/>
          <w:b w:val="0"/>
          <w:bCs/>
        </w:rPr>
        <w:t>附图1：区位分析图</w:t>
      </w:r>
      <w:bookmarkEnd w:id="56"/>
    </w:p>
    <w:p>
      <w:pPr>
        <w:widowControl/>
        <w:spacing w:line="360" w:lineRule="auto"/>
        <w:jc w:val="left"/>
        <w:rPr>
          <w:rFonts w:cs="宋体" w:asciiTheme="minorEastAsia" w:hAnsiTheme="minorEastAsia" w:eastAsiaTheme="minorEastAsia"/>
          <w:kern w:val="0"/>
          <w:sz w:val="24"/>
        </w:rPr>
      </w:pPr>
      <w:r>
        <w:rPr>
          <w:rFonts w:cs="宋体" w:asciiTheme="minorEastAsia" w:hAnsiTheme="minorEastAsia" w:eastAsiaTheme="minorEastAsia"/>
          <w:sz w:val="24"/>
        </w:rPr>
        <w:br w:type="page"/>
      </w:r>
    </w:p>
    <w:p>
      <w:pPr>
        <w:pStyle w:val="7"/>
        <w:spacing w:line="360" w:lineRule="auto"/>
        <w:rPr>
          <w:rFonts w:ascii="楷体_GB2312" w:eastAsia="楷体_GB2312" w:hAnsiTheme="minorEastAsia"/>
          <w:b w:val="0"/>
          <w:bCs/>
        </w:rPr>
      </w:pPr>
      <w:bookmarkStart w:id="57" w:name="_Toc146635390"/>
      <w:r>
        <w:rPr>
          <w:rFonts w:ascii="楷体_GB2312" w:eastAsia="楷体_GB2312" w:hAnsiTheme="minorEastAsia"/>
          <w:b w:val="0"/>
          <w:bCs/>
        </w:rPr>
        <w:drawing>
          <wp:anchor distT="0" distB="0" distL="114300" distR="114300" simplePos="0" relativeHeight="251659264" behindDoc="0" locked="0" layoutInCell="1" allowOverlap="1">
            <wp:simplePos x="0" y="0"/>
            <wp:positionH relativeFrom="margin">
              <wp:posOffset>542925</wp:posOffset>
            </wp:positionH>
            <wp:positionV relativeFrom="paragraph">
              <wp:posOffset>622935</wp:posOffset>
            </wp:positionV>
            <wp:extent cx="7715250" cy="4648200"/>
            <wp:effectExtent l="0" t="0" r="0" b="0"/>
            <wp:wrapTopAndBottom/>
            <wp:docPr id="3" name="图片 3" descr="01周边环境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周边环境分析图"/>
                    <pic:cNvPicPr>
                      <a:picLocks noChangeAspect="1"/>
                    </pic:cNvPicPr>
                  </pic:nvPicPr>
                  <pic:blipFill>
                    <a:blip r:embed="rId12"/>
                    <a:stretch>
                      <a:fillRect/>
                    </a:stretch>
                  </pic:blipFill>
                  <pic:spPr>
                    <a:xfrm>
                      <a:off x="0" y="0"/>
                      <a:ext cx="7715250" cy="4648200"/>
                    </a:xfrm>
                    <a:prstGeom prst="rect">
                      <a:avLst/>
                    </a:prstGeom>
                  </pic:spPr>
                </pic:pic>
              </a:graphicData>
            </a:graphic>
          </wp:anchor>
        </w:drawing>
      </w:r>
      <w:r>
        <w:rPr>
          <w:rFonts w:hint="eastAsia" w:ascii="楷体_GB2312" w:eastAsia="楷体_GB2312" w:hAnsiTheme="minorEastAsia"/>
          <w:b w:val="0"/>
          <w:bCs/>
        </w:rPr>
        <w:t>附图2：控制区障碍物高度控制现状图</w:t>
      </w:r>
      <w:bookmarkEnd w:id="57"/>
    </w:p>
    <w:p>
      <w:pPr>
        <w:pStyle w:val="7"/>
        <w:spacing w:line="360" w:lineRule="auto"/>
        <w:rPr>
          <w:rFonts w:asciiTheme="minorEastAsia" w:hAnsiTheme="minorEastAsia" w:eastAsiaTheme="minorEastAsia"/>
        </w:rPr>
      </w:pPr>
      <w:r>
        <w:rPr>
          <w:rFonts w:asciiTheme="minorEastAsia" w:hAnsiTheme="minorEastAsia" w:eastAsiaTheme="minorEastAsia"/>
        </w:rPr>
        <w:br w:type="page"/>
      </w:r>
      <w:bookmarkStart w:id="58" w:name="_Toc146635391"/>
      <w:r>
        <w:rPr>
          <w:rFonts w:hint="eastAsia" w:ascii="楷体_GB2312" w:eastAsia="楷体_GB2312" w:hAnsiTheme="minorEastAsia"/>
          <w:b w:val="0"/>
          <w:bCs/>
        </w:rPr>
        <w:t>附图3：与国土空间总体规划分析图</w:t>
      </w:r>
      <w:bookmarkEnd w:id="58"/>
    </w:p>
    <w:p>
      <w:pPr>
        <w:pStyle w:val="4"/>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114300" distR="114300">
            <wp:extent cx="7486650" cy="4495800"/>
            <wp:effectExtent l="0" t="0" r="0" b="0"/>
            <wp:docPr id="6" name="图片 6" descr="04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总体规划图"/>
                    <pic:cNvPicPr>
                      <a:picLocks noChangeAspect="1"/>
                    </pic:cNvPicPr>
                  </pic:nvPicPr>
                  <pic:blipFill>
                    <a:blip r:embed="rId13"/>
                    <a:stretch>
                      <a:fillRect/>
                    </a:stretch>
                  </pic:blipFill>
                  <pic:spPr>
                    <a:xfrm>
                      <a:off x="0" y="0"/>
                      <a:ext cx="7486650" cy="4495800"/>
                    </a:xfrm>
                    <a:prstGeom prst="rect">
                      <a:avLst/>
                    </a:prstGeom>
                  </pic:spPr>
                </pic:pic>
              </a:graphicData>
            </a:graphic>
          </wp:inline>
        </w:drawing>
      </w:r>
    </w:p>
    <w:p>
      <w:pPr>
        <w:pStyle w:val="7"/>
        <w:spacing w:line="360" w:lineRule="auto"/>
        <w:rPr>
          <w:rFonts w:ascii="楷体_GB2312" w:eastAsia="楷体_GB2312" w:hAnsiTheme="minorEastAsia"/>
          <w:b w:val="0"/>
          <w:bCs/>
        </w:rPr>
      </w:pPr>
      <w:bookmarkStart w:id="59" w:name="_Toc146635392"/>
      <w:r>
        <w:rPr>
          <w:rFonts w:ascii="楷体_GB2312" w:eastAsia="楷体_GB2312" w:hAnsiTheme="minorEastAsia"/>
          <w:b w:val="0"/>
          <w:bCs/>
        </w:rPr>
        <w:drawing>
          <wp:anchor distT="0" distB="0" distL="114300" distR="114300" simplePos="0" relativeHeight="251661312" behindDoc="0" locked="0" layoutInCell="1" allowOverlap="1">
            <wp:simplePos x="0" y="0"/>
            <wp:positionH relativeFrom="margin">
              <wp:posOffset>533400</wp:posOffset>
            </wp:positionH>
            <wp:positionV relativeFrom="page">
              <wp:posOffset>1524000</wp:posOffset>
            </wp:positionV>
            <wp:extent cx="7962900" cy="4791075"/>
            <wp:effectExtent l="0" t="0" r="0" b="9525"/>
            <wp:wrapTopAndBottom/>
            <wp:docPr id="7" name="图片 7" descr="09气象探测环境保护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9气象探测环境保护图"/>
                    <pic:cNvPicPr>
                      <a:picLocks noChangeAspect="1"/>
                    </pic:cNvPicPr>
                  </pic:nvPicPr>
                  <pic:blipFill>
                    <a:blip r:embed="rId14"/>
                    <a:stretch>
                      <a:fillRect/>
                    </a:stretch>
                  </pic:blipFill>
                  <pic:spPr>
                    <a:xfrm>
                      <a:off x="0" y="0"/>
                      <a:ext cx="7962900" cy="4791075"/>
                    </a:xfrm>
                    <a:prstGeom prst="rect">
                      <a:avLst/>
                    </a:prstGeom>
                  </pic:spPr>
                </pic:pic>
              </a:graphicData>
            </a:graphic>
          </wp:anchor>
        </w:drawing>
      </w:r>
      <w:r>
        <w:rPr>
          <w:rFonts w:hint="eastAsia" w:ascii="楷体_GB2312" w:eastAsia="楷体_GB2312" w:hAnsiTheme="minorEastAsia"/>
          <w:b w:val="0"/>
          <w:bCs/>
        </w:rPr>
        <w:t>附图4：气象探测环境保护图</w:t>
      </w:r>
      <w:bookmarkEnd w:id="59"/>
    </w:p>
    <w:p>
      <w:pPr>
        <w:pStyle w:val="7"/>
        <w:spacing w:line="360" w:lineRule="auto"/>
        <w:rPr>
          <w:rFonts w:ascii="楷体_GB2312" w:eastAsia="楷体_GB2312" w:hAnsiTheme="minorEastAsia"/>
          <w:b w:val="0"/>
          <w:bCs/>
        </w:rPr>
      </w:pPr>
      <w:bookmarkStart w:id="60" w:name="_Toc146635393"/>
      <w:r>
        <w:rPr>
          <w:rFonts w:hint="eastAsia" w:ascii="楷体_GB2312" w:eastAsia="楷体_GB2312" w:hAnsiTheme="minorEastAsia"/>
          <w:b w:val="0"/>
          <w:bCs/>
        </w:rPr>
        <w:t>附图5：控制区障碍物高度控制图</w:t>
      </w:r>
      <w:bookmarkEnd w:id="60"/>
    </w:p>
    <w:p>
      <w:pPr>
        <w:pStyle w:val="4"/>
        <w:spacing w:line="360" w:lineRule="auto"/>
        <w:jc w:val="center"/>
        <w:rPr>
          <w:rFonts w:asciiTheme="minorEastAsia" w:hAnsiTheme="minorEastAsia" w:eastAsiaTheme="minorEastAsia"/>
        </w:rPr>
      </w:pPr>
      <w:r>
        <w:rPr>
          <w:rFonts w:asciiTheme="minorEastAsia" w:hAnsiTheme="minorEastAsia" w:eastAsiaTheme="minorEastAsia"/>
        </w:rPr>
        <w:drawing>
          <wp:inline distT="0" distB="0" distL="114300" distR="114300">
            <wp:extent cx="7524750" cy="4419600"/>
            <wp:effectExtent l="0" t="0" r="0" b="0"/>
            <wp:docPr id="9" name="图片 9" descr="10控制区障碍物高度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控制区障碍物高度控制图"/>
                    <pic:cNvPicPr>
                      <a:picLocks noChangeAspect="1"/>
                    </pic:cNvPicPr>
                  </pic:nvPicPr>
                  <pic:blipFill>
                    <a:blip r:embed="rId15"/>
                    <a:stretch>
                      <a:fillRect/>
                    </a:stretch>
                  </pic:blipFill>
                  <pic:spPr>
                    <a:xfrm>
                      <a:off x="0" y="0"/>
                      <a:ext cx="7524750" cy="4419600"/>
                    </a:xfrm>
                    <a:prstGeom prst="rect">
                      <a:avLst/>
                    </a:prstGeom>
                  </pic:spPr>
                </pic:pic>
              </a:graphicData>
            </a:graphic>
          </wp:inline>
        </w:drawing>
      </w:r>
    </w:p>
    <w:p>
      <w:pPr>
        <w:pStyle w:val="7"/>
        <w:spacing w:line="360" w:lineRule="auto"/>
        <w:rPr>
          <w:rFonts w:asciiTheme="minorEastAsia" w:hAnsiTheme="minorEastAsia" w:eastAsiaTheme="minorEastAsia"/>
        </w:rPr>
      </w:pPr>
      <w:r>
        <w:rPr>
          <w:rFonts w:cs="宋体" w:asciiTheme="minorEastAsia" w:hAnsiTheme="minorEastAsia" w:eastAsiaTheme="minorEastAsia"/>
          <w:sz w:val="24"/>
        </w:rPr>
        <w:br w:type="page"/>
      </w:r>
      <w:bookmarkStart w:id="61" w:name="_Toc146635394"/>
      <w:r>
        <w:rPr>
          <w:rFonts w:hint="eastAsia" w:ascii="楷体_GB2312" w:eastAsia="楷体_GB2312" w:hAnsiTheme="minorEastAsia"/>
          <w:b w:val="0"/>
          <w:bCs/>
        </w:rPr>
        <w:t>附图6：日出日落方向障碍物高度控制图</w:t>
      </w:r>
      <w:bookmarkEnd w:id="61"/>
    </w:p>
    <w:p>
      <w:pPr>
        <w:pStyle w:val="7"/>
        <w:spacing w:line="360" w:lineRule="auto"/>
        <w:rPr>
          <w:rFonts w:asciiTheme="minorEastAsia" w:hAnsiTheme="minorEastAsia" w:eastAsiaTheme="minorEastAsia"/>
        </w:rPr>
      </w:pPr>
      <w:bookmarkStart w:id="62" w:name="_Toc146635395"/>
      <w:r>
        <w:rPr>
          <w:rFonts w:asciiTheme="minorEastAsia" w:hAnsiTheme="minorEastAsia" w:eastAsiaTheme="minorEastAsia"/>
        </w:rPr>
        <w:drawing>
          <wp:anchor distT="0" distB="0" distL="114300" distR="114300" simplePos="0" relativeHeight="251662336" behindDoc="0" locked="0" layoutInCell="1" allowOverlap="1">
            <wp:simplePos x="0" y="0"/>
            <wp:positionH relativeFrom="column">
              <wp:posOffset>733425</wp:posOffset>
            </wp:positionH>
            <wp:positionV relativeFrom="paragraph">
              <wp:posOffset>10160</wp:posOffset>
            </wp:positionV>
            <wp:extent cx="7562850" cy="4657725"/>
            <wp:effectExtent l="0" t="0" r="0" b="9525"/>
            <wp:wrapTopAndBottom/>
            <wp:docPr id="10" name="图片 10" descr="11日出日落障碍物高度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日出日落障碍物高度控制图"/>
                    <pic:cNvPicPr>
                      <a:picLocks noChangeAspect="1"/>
                    </pic:cNvPicPr>
                  </pic:nvPicPr>
                  <pic:blipFill>
                    <a:blip r:embed="rId16"/>
                    <a:stretch>
                      <a:fillRect/>
                    </a:stretch>
                  </pic:blipFill>
                  <pic:spPr>
                    <a:xfrm>
                      <a:off x="0" y="0"/>
                      <a:ext cx="7562850" cy="4657725"/>
                    </a:xfrm>
                    <a:prstGeom prst="rect">
                      <a:avLst/>
                    </a:prstGeom>
                  </pic:spPr>
                </pic:pic>
              </a:graphicData>
            </a:graphic>
          </wp:anchor>
        </w:drawing>
      </w:r>
      <w:r>
        <w:rPr>
          <w:rFonts w:asciiTheme="minorEastAsia" w:hAnsiTheme="minorEastAsia" w:eastAsiaTheme="minorEastAsia"/>
        </w:rPr>
        <w:br w:type="page"/>
      </w:r>
      <w:r>
        <w:rPr>
          <w:rFonts w:ascii="楷体_GB2312" w:eastAsia="楷体_GB2312" w:hAnsiTheme="minorEastAsia"/>
          <w:b w:val="0"/>
          <w:bCs/>
        </w:rPr>
        <w:drawing>
          <wp:anchor distT="0" distB="0" distL="114300" distR="114300" simplePos="0" relativeHeight="251663360" behindDoc="0" locked="0" layoutInCell="1" allowOverlap="1">
            <wp:simplePos x="0" y="0"/>
            <wp:positionH relativeFrom="column">
              <wp:posOffset>523875</wp:posOffset>
            </wp:positionH>
            <wp:positionV relativeFrom="page">
              <wp:posOffset>1628775</wp:posOffset>
            </wp:positionV>
            <wp:extent cx="7896225" cy="4781550"/>
            <wp:effectExtent l="0" t="0" r="9525" b="0"/>
            <wp:wrapTopAndBottom/>
            <wp:docPr id="11" name="图片 11" descr="13观测场周边限制规划区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观测场周边限制规划区示意图"/>
                    <pic:cNvPicPr>
                      <a:picLocks noChangeAspect="1"/>
                    </pic:cNvPicPr>
                  </pic:nvPicPr>
                  <pic:blipFill>
                    <a:blip r:embed="rId17"/>
                    <a:stretch>
                      <a:fillRect/>
                    </a:stretch>
                  </pic:blipFill>
                  <pic:spPr>
                    <a:xfrm>
                      <a:off x="0" y="0"/>
                      <a:ext cx="7896225" cy="4781550"/>
                    </a:xfrm>
                    <a:prstGeom prst="rect">
                      <a:avLst/>
                    </a:prstGeom>
                  </pic:spPr>
                </pic:pic>
              </a:graphicData>
            </a:graphic>
          </wp:anchor>
        </w:drawing>
      </w:r>
      <w:r>
        <w:rPr>
          <w:rFonts w:hint="eastAsia" w:ascii="楷体_GB2312" w:eastAsia="楷体_GB2312" w:hAnsiTheme="minorEastAsia"/>
          <w:b w:val="0"/>
          <w:bCs/>
        </w:rPr>
        <w:t>附图7：观测场周边限制规划区示意图</w:t>
      </w:r>
      <w:bookmarkEnd w:id="62"/>
    </w:p>
    <w:p>
      <w:pPr>
        <w:pStyle w:val="7"/>
        <w:spacing w:line="360" w:lineRule="auto"/>
        <w:rPr>
          <w:rFonts w:ascii="楷体_GB2312" w:eastAsia="楷体_GB2312" w:hAnsiTheme="minorEastAsia"/>
          <w:b w:val="0"/>
          <w:bCs/>
        </w:rPr>
      </w:pPr>
      <w:bookmarkStart w:id="63" w:name="_Toc146635396"/>
      <w:r>
        <w:rPr>
          <w:rFonts w:ascii="楷体_GB2312" w:eastAsia="楷体_GB2312" w:hAnsiTheme="minorEastAsia"/>
          <w:b w:val="0"/>
          <w:bCs/>
        </w:rPr>
        <w:drawing>
          <wp:anchor distT="0" distB="0" distL="114300" distR="114300" simplePos="0" relativeHeight="251664384" behindDoc="0" locked="0" layoutInCell="1" allowOverlap="1">
            <wp:simplePos x="0" y="0"/>
            <wp:positionH relativeFrom="margin">
              <wp:align>right</wp:align>
            </wp:positionH>
            <wp:positionV relativeFrom="paragraph">
              <wp:posOffset>533400</wp:posOffset>
            </wp:positionV>
            <wp:extent cx="8448675" cy="4505325"/>
            <wp:effectExtent l="0" t="0" r="9525" b="9525"/>
            <wp:wrapTopAndBottom/>
            <wp:docPr id="12" name="图片 12" descr="15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平面图"/>
                    <pic:cNvPicPr>
                      <a:picLocks noChangeAspect="1"/>
                    </pic:cNvPicPr>
                  </pic:nvPicPr>
                  <pic:blipFill>
                    <a:blip r:embed="rId18"/>
                    <a:stretch>
                      <a:fillRect/>
                    </a:stretch>
                  </pic:blipFill>
                  <pic:spPr>
                    <a:xfrm>
                      <a:off x="0" y="0"/>
                      <a:ext cx="8448675" cy="4505325"/>
                    </a:xfrm>
                    <a:prstGeom prst="rect">
                      <a:avLst/>
                    </a:prstGeom>
                  </pic:spPr>
                </pic:pic>
              </a:graphicData>
            </a:graphic>
          </wp:anchor>
        </w:drawing>
      </w:r>
      <w:r>
        <w:rPr>
          <w:rFonts w:hint="eastAsia" w:ascii="楷体_GB2312" w:eastAsia="楷体_GB2312" w:hAnsiTheme="minorEastAsia"/>
          <w:b w:val="0"/>
          <w:bCs/>
        </w:rPr>
        <w:t>附图8：竖向控制图</w:t>
      </w:r>
      <w:bookmarkEnd w:id="63"/>
    </w:p>
    <w:p>
      <w:pPr>
        <w:pStyle w:val="4"/>
        <w:spacing w:line="360" w:lineRule="auto"/>
        <w:rPr>
          <w:rFonts w:asciiTheme="minorEastAsia" w:hAnsiTheme="minorEastAsia" w:eastAsiaTheme="minorEastAsia"/>
        </w:rPr>
      </w:pPr>
    </w:p>
    <w:p>
      <w:pPr>
        <w:pStyle w:val="7"/>
        <w:spacing w:line="360" w:lineRule="auto"/>
        <w:rPr>
          <w:rFonts w:ascii="楷体_GB2312" w:eastAsia="楷体_GB2312" w:hAnsiTheme="minorEastAsia"/>
          <w:b w:val="0"/>
          <w:bCs/>
        </w:rPr>
      </w:pPr>
      <w:bookmarkStart w:id="64" w:name="_Toc146635397"/>
      <w:r>
        <w:rPr>
          <w:rFonts w:ascii="楷体_GB2312" w:eastAsia="楷体_GB2312" w:hAnsiTheme="minorEastAsia"/>
          <w:b w:val="0"/>
          <w:bCs/>
        </w:rPr>
        <w:drawing>
          <wp:anchor distT="0" distB="0" distL="114300" distR="114300" simplePos="0" relativeHeight="251665408" behindDoc="0" locked="0" layoutInCell="1" allowOverlap="1">
            <wp:simplePos x="0" y="0"/>
            <wp:positionH relativeFrom="column">
              <wp:posOffset>371475</wp:posOffset>
            </wp:positionH>
            <wp:positionV relativeFrom="paragraph">
              <wp:posOffset>437515</wp:posOffset>
            </wp:positionV>
            <wp:extent cx="7981950" cy="4619625"/>
            <wp:effectExtent l="0" t="0" r="0" b="9525"/>
            <wp:wrapTopAndBottom/>
            <wp:docPr id="13" name="图片 13" descr="G:\薛蕾\2023\05临清\气象站\ps\JPEG\17核心保护区范围内规划图则.jpg17核心保护区范围内规划图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薛蕾\2023\05临清\气象站\ps\JPEG\17核心保护区范围内规划图则.jpg17核心保护区范围内规划图则"/>
                    <pic:cNvPicPr>
                      <a:picLocks noChangeAspect="1"/>
                    </pic:cNvPicPr>
                  </pic:nvPicPr>
                  <pic:blipFill>
                    <a:blip r:embed="rId19"/>
                    <a:srcRect l="9" r="9"/>
                    <a:stretch>
                      <a:fillRect/>
                    </a:stretch>
                  </pic:blipFill>
                  <pic:spPr>
                    <a:xfrm>
                      <a:off x="0" y="0"/>
                      <a:ext cx="7981950" cy="4619625"/>
                    </a:xfrm>
                    <a:prstGeom prst="rect">
                      <a:avLst/>
                    </a:prstGeom>
                  </pic:spPr>
                </pic:pic>
              </a:graphicData>
            </a:graphic>
          </wp:anchor>
        </w:drawing>
      </w:r>
      <w:r>
        <w:rPr>
          <w:rFonts w:hint="eastAsia" w:ascii="楷体_GB2312" w:eastAsia="楷体_GB2312" w:hAnsiTheme="minorEastAsia"/>
          <w:b w:val="0"/>
          <w:bCs/>
        </w:rPr>
        <w:t>附图9：核心保护区范围内规划图则</w:t>
      </w:r>
      <w:bookmarkEnd w:id="64"/>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Calibri Light">
    <w:altName w:val="DejaVu Sans"/>
    <w:panose1 w:val="020F0302020204030204"/>
    <w:charset w:val="00"/>
    <w:family w:val="swiss"/>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w:altName w:val="Times New Roman"/>
    <w:panose1 w:val="020B0604020202020204"/>
    <w:charset w:val="00"/>
    <w:family w:val="swiss"/>
    <w:pitch w:val="default"/>
    <w:sig w:usb0="00000000" w:usb1="00000000" w:usb2="00000009" w:usb3="00000000" w:csb0="000001FF"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 w:name="等线">
    <w:altName w:val="宋体"/>
    <w:panose1 w:val="02010600030101010101"/>
    <w:charset w:val="86"/>
    <w:family w:val="auto"/>
    <w:pitch w:val="default"/>
    <w:sig w:usb0="00000000" w:usb1="00000000" w:usb2="00000016" w:usb3="00000000" w:csb0="0004000F"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3698479"/>
      <w:docPartObj>
        <w:docPartGallery w:val="AutoText"/>
      </w:docPartObj>
    </w:sdtPr>
    <w:sdtContent>
      <w:p>
        <w:pPr>
          <w:pStyle w:val="11"/>
        </w:pPr>
        <w:r>
          <w:t>-</w:t>
        </w:r>
        <w:r>
          <w:fldChar w:fldCharType="begin"/>
        </w:r>
        <w:r>
          <w:instrText xml:space="preserve">PAGE   \* MERGEFORMAT</w:instrText>
        </w:r>
        <w:r>
          <w:fldChar w:fldCharType="separate"/>
        </w:r>
        <w:r>
          <w:rPr>
            <w:lang w:val="zh-CN"/>
          </w:rPr>
          <w:t>2</w:t>
        </w:r>
        <w:r>
          <w:fldChar w:fldCharType="end"/>
        </w:r>
        <w:r>
          <w:t>-</w:t>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t>-</w:t>
    </w:r>
    <w:sdt>
      <w:sdtPr>
        <w:id w:val="1168675003"/>
        <w:docPartObj>
          <w:docPartGallery w:val="AutoText"/>
        </w:docPartObj>
      </w:sdtPr>
      <w:sdtContent>
        <w:r>
          <w:fldChar w:fldCharType="begin"/>
        </w:r>
        <w:r>
          <w:instrText xml:space="preserve">PAGE   \* MERGEFORMAT</w:instrText>
        </w:r>
        <w:r>
          <w:fldChar w:fldCharType="separate"/>
        </w:r>
        <w:r>
          <w:rPr>
            <w:lang w:val="zh-CN"/>
          </w:rPr>
          <w:t>2</w:t>
        </w:r>
        <w:r>
          <w:fldChar w:fldCharType="end"/>
        </w:r>
        <w:r>
          <w:t>-</w:t>
        </w:r>
      </w:sdtContent>
    </w:sdt>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heme="minorEastAsia" w:hAnsiTheme="minorEastAsia" w:eastAsiaTheme="minorEastAsia"/>
        <w:sz w:val="28"/>
        <w:szCs w:val="28"/>
      </w:rPr>
    </w:pP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t>-</w:t>
    </w:r>
    <w:sdt>
      <w:sdtPr>
        <w:id w:val="1336424078"/>
        <w:docPartObj>
          <w:docPartGallery w:val="AutoText"/>
        </w:docPartObj>
      </w:sdtPr>
      <w:sdtContent>
        <w:r>
          <w:fldChar w:fldCharType="begin"/>
        </w:r>
        <w:r>
          <w:instrText xml:space="preserve">PAGE   \* MERGEFORMAT</w:instrText>
        </w:r>
        <w:r>
          <w:fldChar w:fldCharType="separate"/>
        </w:r>
        <w:r>
          <w:rPr>
            <w:lang w:val="zh-CN"/>
          </w:rPr>
          <w:t>2</w:t>
        </w:r>
        <w:r>
          <w:fldChar w:fldCharType="end"/>
        </w:r>
        <w:r>
          <w:t>-</w:t>
        </w:r>
      </w:sdtContent>
    </w:sdt>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p>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pBdr>
      <w:jc w:val="right"/>
    </w:pPr>
  </w:p>
  <w:p>
    <w:pPr>
      <w:pStyle w:val="12"/>
      <w:pBdr>
        <w:top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4633F"/>
    <w:multiLevelType w:val="multilevel"/>
    <w:tmpl w:val="1FC4633F"/>
    <w:lvl w:ilvl="0" w:tentative="0">
      <w:start w:val="1"/>
      <w:numFmt w:val="japaneseCounting"/>
      <w:lvlText w:val="第%1节"/>
      <w:lvlJc w:val="left"/>
      <w:pPr>
        <w:ind w:left="1275" w:hanging="127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A41E778"/>
    <w:multiLevelType w:val="singleLevel"/>
    <w:tmpl w:val="2A41E778"/>
    <w:lvl w:ilvl="0" w:tentative="0">
      <w:start w:val="1"/>
      <w:numFmt w:val="chineseCounting"/>
      <w:suff w:val="space"/>
      <w:lvlText w:val="第%1章"/>
      <w:lvlJc w:val="left"/>
      <w:rPr>
        <w:rFonts w:hint="eastAsia"/>
      </w:rPr>
    </w:lvl>
  </w:abstractNum>
  <w:abstractNum w:abstractNumId="2">
    <w:nsid w:val="39967FA4"/>
    <w:multiLevelType w:val="multilevel"/>
    <w:tmpl w:val="39967FA4"/>
    <w:lvl w:ilvl="0" w:tentative="0">
      <w:start w:val="1"/>
      <w:numFmt w:val="japaneseCounting"/>
      <w:lvlText w:val="第%1节"/>
      <w:lvlJc w:val="left"/>
      <w:pPr>
        <w:ind w:left="1275" w:hanging="127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2B4016E"/>
    <w:multiLevelType w:val="multilevel"/>
    <w:tmpl w:val="52B4016E"/>
    <w:lvl w:ilvl="0" w:tentative="0">
      <w:start w:val="1"/>
      <w:numFmt w:val="chineseCountingThousand"/>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70509F0"/>
    <w:multiLevelType w:val="multilevel"/>
    <w:tmpl w:val="670509F0"/>
    <w:lvl w:ilvl="0" w:tentative="0">
      <w:start w:val="1"/>
      <w:numFmt w:val="japaneseCounting"/>
      <w:lvlText w:val="第%1节"/>
      <w:lvlJc w:val="left"/>
      <w:pPr>
        <w:ind w:left="1275" w:hanging="127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69DB31EE"/>
    <w:multiLevelType w:val="multilevel"/>
    <w:tmpl w:val="69DB31EE"/>
    <w:lvl w:ilvl="0" w:tentative="0">
      <w:start w:val="1"/>
      <w:numFmt w:val="chineseCountingThousand"/>
      <w:lvlText w:val="%1、"/>
      <w:lvlJc w:val="left"/>
      <w:pPr>
        <w:ind w:left="440" w:hanging="440"/>
      </w:pPr>
      <w:rPr>
        <w:rFonts w:hint="eastAsia"/>
      </w:rPr>
    </w:lvl>
    <w:lvl w:ilvl="1" w:tentative="0">
      <w:start w:val="1"/>
      <w:numFmt w:val="chineseCountingThousand"/>
      <w:lvlText w:val="%2、"/>
      <w:lvlJc w:val="left"/>
      <w:pPr>
        <w:ind w:left="240" w:hanging="440"/>
      </w:pPr>
      <w:rPr>
        <w:rFonts w:hint="eastAsia"/>
      </w:rPr>
    </w:lvl>
    <w:lvl w:ilvl="2" w:tentative="0">
      <w:start w:val="1"/>
      <w:numFmt w:val="lowerRoman"/>
      <w:lvlText w:val="%3."/>
      <w:lvlJc w:val="right"/>
      <w:pPr>
        <w:ind w:left="680" w:hanging="440"/>
      </w:pPr>
    </w:lvl>
    <w:lvl w:ilvl="3" w:tentative="0">
      <w:start w:val="1"/>
      <w:numFmt w:val="decimal"/>
      <w:lvlText w:val="%4."/>
      <w:lvlJc w:val="left"/>
      <w:pPr>
        <w:ind w:left="1120" w:hanging="440"/>
      </w:pPr>
    </w:lvl>
    <w:lvl w:ilvl="4" w:tentative="0">
      <w:start w:val="1"/>
      <w:numFmt w:val="lowerLetter"/>
      <w:lvlText w:val="%5)"/>
      <w:lvlJc w:val="left"/>
      <w:pPr>
        <w:ind w:left="1560" w:hanging="440"/>
      </w:pPr>
    </w:lvl>
    <w:lvl w:ilvl="5" w:tentative="0">
      <w:start w:val="1"/>
      <w:numFmt w:val="lowerRoman"/>
      <w:lvlText w:val="%6."/>
      <w:lvlJc w:val="right"/>
      <w:pPr>
        <w:ind w:left="2000" w:hanging="440"/>
      </w:pPr>
    </w:lvl>
    <w:lvl w:ilvl="6" w:tentative="0">
      <w:start w:val="1"/>
      <w:numFmt w:val="decimal"/>
      <w:lvlText w:val="%7."/>
      <w:lvlJc w:val="left"/>
      <w:pPr>
        <w:ind w:left="2440" w:hanging="440"/>
      </w:pPr>
    </w:lvl>
    <w:lvl w:ilvl="7" w:tentative="0">
      <w:start w:val="1"/>
      <w:numFmt w:val="lowerLetter"/>
      <w:lvlText w:val="%8)"/>
      <w:lvlJc w:val="left"/>
      <w:pPr>
        <w:ind w:left="2880" w:hanging="440"/>
      </w:pPr>
    </w:lvl>
    <w:lvl w:ilvl="8" w:tentative="0">
      <w:start w:val="1"/>
      <w:numFmt w:val="lowerRoman"/>
      <w:lvlText w:val="%9."/>
      <w:lvlJc w:val="right"/>
      <w:pPr>
        <w:ind w:left="3320" w:hanging="440"/>
      </w:p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hYWM1ZDM0OTMwOTZhZDdmMmQ3OWZmYjk2OTI3ZWIifQ=="/>
  </w:docVars>
  <w:rsids>
    <w:rsidRoot w:val="5E17330B"/>
    <w:rsid w:val="00021D6A"/>
    <w:rsid w:val="00031464"/>
    <w:rsid w:val="000371CA"/>
    <w:rsid w:val="00076681"/>
    <w:rsid w:val="00091EA7"/>
    <w:rsid w:val="000C3C53"/>
    <w:rsid w:val="000D6B6B"/>
    <w:rsid w:val="000F1A8E"/>
    <w:rsid w:val="00134C52"/>
    <w:rsid w:val="00173F75"/>
    <w:rsid w:val="001848DE"/>
    <w:rsid w:val="001F2CCD"/>
    <w:rsid w:val="002058EC"/>
    <w:rsid w:val="002B72E7"/>
    <w:rsid w:val="00317806"/>
    <w:rsid w:val="0032054E"/>
    <w:rsid w:val="00331427"/>
    <w:rsid w:val="0034219A"/>
    <w:rsid w:val="00352458"/>
    <w:rsid w:val="00363AE3"/>
    <w:rsid w:val="00365CCC"/>
    <w:rsid w:val="003D039E"/>
    <w:rsid w:val="003E2403"/>
    <w:rsid w:val="003F5C30"/>
    <w:rsid w:val="004473AB"/>
    <w:rsid w:val="00481F3E"/>
    <w:rsid w:val="00486860"/>
    <w:rsid w:val="00495800"/>
    <w:rsid w:val="00497CF6"/>
    <w:rsid w:val="004A1A5F"/>
    <w:rsid w:val="004C094E"/>
    <w:rsid w:val="004E0F77"/>
    <w:rsid w:val="00527E6D"/>
    <w:rsid w:val="00533F31"/>
    <w:rsid w:val="005C443A"/>
    <w:rsid w:val="006332BA"/>
    <w:rsid w:val="0067786F"/>
    <w:rsid w:val="006E05BE"/>
    <w:rsid w:val="007006F4"/>
    <w:rsid w:val="00737493"/>
    <w:rsid w:val="0074307D"/>
    <w:rsid w:val="00775B44"/>
    <w:rsid w:val="0078461D"/>
    <w:rsid w:val="007905A7"/>
    <w:rsid w:val="007B29BA"/>
    <w:rsid w:val="007C10DD"/>
    <w:rsid w:val="007D5F0A"/>
    <w:rsid w:val="007F3E79"/>
    <w:rsid w:val="008404BA"/>
    <w:rsid w:val="00850C28"/>
    <w:rsid w:val="00850CC4"/>
    <w:rsid w:val="00861DAB"/>
    <w:rsid w:val="0086488B"/>
    <w:rsid w:val="008779B1"/>
    <w:rsid w:val="00891592"/>
    <w:rsid w:val="008F1155"/>
    <w:rsid w:val="0093005A"/>
    <w:rsid w:val="00953656"/>
    <w:rsid w:val="0096553D"/>
    <w:rsid w:val="009668B4"/>
    <w:rsid w:val="0098227E"/>
    <w:rsid w:val="009E63B5"/>
    <w:rsid w:val="00A000D5"/>
    <w:rsid w:val="00A1791D"/>
    <w:rsid w:val="00A537E4"/>
    <w:rsid w:val="00A7428C"/>
    <w:rsid w:val="00AD4125"/>
    <w:rsid w:val="00B1056E"/>
    <w:rsid w:val="00B2494E"/>
    <w:rsid w:val="00B742A1"/>
    <w:rsid w:val="00B92EDD"/>
    <w:rsid w:val="00C11312"/>
    <w:rsid w:val="00C15F90"/>
    <w:rsid w:val="00C265DE"/>
    <w:rsid w:val="00C52F1C"/>
    <w:rsid w:val="00C85DF2"/>
    <w:rsid w:val="00CC7C01"/>
    <w:rsid w:val="00CD2D27"/>
    <w:rsid w:val="00DA3045"/>
    <w:rsid w:val="00DF18C7"/>
    <w:rsid w:val="00E01585"/>
    <w:rsid w:val="00E21975"/>
    <w:rsid w:val="00E65161"/>
    <w:rsid w:val="00E909E4"/>
    <w:rsid w:val="00EB440F"/>
    <w:rsid w:val="00EB6B58"/>
    <w:rsid w:val="00EB7E60"/>
    <w:rsid w:val="00F52A8D"/>
    <w:rsid w:val="00F72216"/>
    <w:rsid w:val="00FB7788"/>
    <w:rsid w:val="00FE1CE7"/>
    <w:rsid w:val="0116312F"/>
    <w:rsid w:val="013C246A"/>
    <w:rsid w:val="01B540B1"/>
    <w:rsid w:val="02005B8D"/>
    <w:rsid w:val="022A6766"/>
    <w:rsid w:val="0264611C"/>
    <w:rsid w:val="02C17A25"/>
    <w:rsid w:val="03083A13"/>
    <w:rsid w:val="0321400D"/>
    <w:rsid w:val="03B46C2F"/>
    <w:rsid w:val="04567CE7"/>
    <w:rsid w:val="048D5126"/>
    <w:rsid w:val="04A10F62"/>
    <w:rsid w:val="04D22A2E"/>
    <w:rsid w:val="04D56E5D"/>
    <w:rsid w:val="04FA1E2D"/>
    <w:rsid w:val="05D073C6"/>
    <w:rsid w:val="05D962CC"/>
    <w:rsid w:val="05EF3F4F"/>
    <w:rsid w:val="06426774"/>
    <w:rsid w:val="065546FA"/>
    <w:rsid w:val="065F787C"/>
    <w:rsid w:val="06A92350"/>
    <w:rsid w:val="071F0864"/>
    <w:rsid w:val="078D0F73"/>
    <w:rsid w:val="07C733D5"/>
    <w:rsid w:val="07ED44BE"/>
    <w:rsid w:val="0806255A"/>
    <w:rsid w:val="08716E9D"/>
    <w:rsid w:val="08A36708"/>
    <w:rsid w:val="08C07E24"/>
    <w:rsid w:val="09060CCF"/>
    <w:rsid w:val="097E335E"/>
    <w:rsid w:val="09A84B40"/>
    <w:rsid w:val="09DE67B4"/>
    <w:rsid w:val="0A053D41"/>
    <w:rsid w:val="0A5371A2"/>
    <w:rsid w:val="0A6505D0"/>
    <w:rsid w:val="0AEA2F37"/>
    <w:rsid w:val="0B0E646C"/>
    <w:rsid w:val="0B386398"/>
    <w:rsid w:val="0D6870D7"/>
    <w:rsid w:val="0D906D5F"/>
    <w:rsid w:val="0DA87805"/>
    <w:rsid w:val="0DEC35A3"/>
    <w:rsid w:val="0E551706"/>
    <w:rsid w:val="0E772D33"/>
    <w:rsid w:val="0EA93835"/>
    <w:rsid w:val="0EE71E6E"/>
    <w:rsid w:val="0F8B118C"/>
    <w:rsid w:val="0FB24F11"/>
    <w:rsid w:val="0FD30626"/>
    <w:rsid w:val="1017657C"/>
    <w:rsid w:val="103F0D88"/>
    <w:rsid w:val="114C6C01"/>
    <w:rsid w:val="11D230A2"/>
    <w:rsid w:val="12380A2C"/>
    <w:rsid w:val="13386F35"/>
    <w:rsid w:val="13E2556B"/>
    <w:rsid w:val="142B33C8"/>
    <w:rsid w:val="14C03686"/>
    <w:rsid w:val="14CF52C6"/>
    <w:rsid w:val="152178CA"/>
    <w:rsid w:val="156805C1"/>
    <w:rsid w:val="156C736A"/>
    <w:rsid w:val="159C0F6F"/>
    <w:rsid w:val="15A703A2"/>
    <w:rsid w:val="15E74C42"/>
    <w:rsid w:val="162E0AC3"/>
    <w:rsid w:val="163065E9"/>
    <w:rsid w:val="165C73DE"/>
    <w:rsid w:val="169528F0"/>
    <w:rsid w:val="16BB30B8"/>
    <w:rsid w:val="172163E8"/>
    <w:rsid w:val="17375756"/>
    <w:rsid w:val="187A1D9E"/>
    <w:rsid w:val="18954E2A"/>
    <w:rsid w:val="18B261A0"/>
    <w:rsid w:val="18E069C1"/>
    <w:rsid w:val="18F616C8"/>
    <w:rsid w:val="190653E0"/>
    <w:rsid w:val="190F5F83"/>
    <w:rsid w:val="19362169"/>
    <w:rsid w:val="19F65C15"/>
    <w:rsid w:val="1A461FED"/>
    <w:rsid w:val="1B0B3181"/>
    <w:rsid w:val="1B43291B"/>
    <w:rsid w:val="1B6D1746"/>
    <w:rsid w:val="1C346708"/>
    <w:rsid w:val="1C373C94"/>
    <w:rsid w:val="1C6E1C1A"/>
    <w:rsid w:val="1CA3536E"/>
    <w:rsid w:val="1CB90389"/>
    <w:rsid w:val="1CC95DE9"/>
    <w:rsid w:val="1CD75A11"/>
    <w:rsid w:val="1CE7377A"/>
    <w:rsid w:val="1D5F5A06"/>
    <w:rsid w:val="1DAD013B"/>
    <w:rsid w:val="1E340C41"/>
    <w:rsid w:val="1E3A6473"/>
    <w:rsid w:val="1E4946EC"/>
    <w:rsid w:val="1E615EC6"/>
    <w:rsid w:val="1E7777B5"/>
    <w:rsid w:val="1EB15DEE"/>
    <w:rsid w:val="1EF17096"/>
    <w:rsid w:val="1FB57B5F"/>
    <w:rsid w:val="1FBF3343"/>
    <w:rsid w:val="1FD2426D"/>
    <w:rsid w:val="1FDE2C12"/>
    <w:rsid w:val="20547378"/>
    <w:rsid w:val="207F416C"/>
    <w:rsid w:val="213276BA"/>
    <w:rsid w:val="213608D5"/>
    <w:rsid w:val="21556F04"/>
    <w:rsid w:val="21C422DC"/>
    <w:rsid w:val="21C978F2"/>
    <w:rsid w:val="227930C6"/>
    <w:rsid w:val="229D1DD6"/>
    <w:rsid w:val="22F81194"/>
    <w:rsid w:val="231F3C6E"/>
    <w:rsid w:val="235077BF"/>
    <w:rsid w:val="235333B2"/>
    <w:rsid w:val="23A710EC"/>
    <w:rsid w:val="23FA2D2C"/>
    <w:rsid w:val="241248AA"/>
    <w:rsid w:val="2443398C"/>
    <w:rsid w:val="24576B06"/>
    <w:rsid w:val="24E52C95"/>
    <w:rsid w:val="251F7F55"/>
    <w:rsid w:val="25423C43"/>
    <w:rsid w:val="25E22D30"/>
    <w:rsid w:val="26906920"/>
    <w:rsid w:val="26D365F5"/>
    <w:rsid w:val="26FE2F45"/>
    <w:rsid w:val="27405DF5"/>
    <w:rsid w:val="28450774"/>
    <w:rsid w:val="288A7DDB"/>
    <w:rsid w:val="2895452B"/>
    <w:rsid w:val="28D07377"/>
    <w:rsid w:val="291853E7"/>
    <w:rsid w:val="293165F0"/>
    <w:rsid w:val="29420A80"/>
    <w:rsid w:val="29A547A1"/>
    <w:rsid w:val="2A314286"/>
    <w:rsid w:val="2A8645D2"/>
    <w:rsid w:val="2BDF11C1"/>
    <w:rsid w:val="2BEB0D6E"/>
    <w:rsid w:val="2BEF61A7"/>
    <w:rsid w:val="2BF51A0F"/>
    <w:rsid w:val="2CAB15A0"/>
    <w:rsid w:val="2D9D235F"/>
    <w:rsid w:val="2DDF69E5"/>
    <w:rsid w:val="2E051CB2"/>
    <w:rsid w:val="2E346C34"/>
    <w:rsid w:val="2EF91817"/>
    <w:rsid w:val="2F0957D2"/>
    <w:rsid w:val="2FBD0DC9"/>
    <w:rsid w:val="300E3B1E"/>
    <w:rsid w:val="301B3A0F"/>
    <w:rsid w:val="30843362"/>
    <w:rsid w:val="30DD6F16"/>
    <w:rsid w:val="31602FEE"/>
    <w:rsid w:val="32963820"/>
    <w:rsid w:val="32BB6DE3"/>
    <w:rsid w:val="330C3CF8"/>
    <w:rsid w:val="33294694"/>
    <w:rsid w:val="33CC574C"/>
    <w:rsid w:val="341E2D11"/>
    <w:rsid w:val="34674884"/>
    <w:rsid w:val="34A02734"/>
    <w:rsid w:val="35040F15"/>
    <w:rsid w:val="35F9034E"/>
    <w:rsid w:val="36305122"/>
    <w:rsid w:val="36807657"/>
    <w:rsid w:val="36D3294D"/>
    <w:rsid w:val="36FB1841"/>
    <w:rsid w:val="379775C4"/>
    <w:rsid w:val="385C2E16"/>
    <w:rsid w:val="38FE634C"/>
    <w:rsid w:val="392A1782"/>
    <w:rsid w:val="392C6D82"/>
    <w:rsid w:val="394713D0"/>
    <w:rsid w:val="39567866"/>
    <w:rsid w:val="395802E4"/>
    <w:rsid w:val="39AB7BB1"/>
    <w:rsid w:val="3A656C94"/>
    <w:rsid w:val="3AD7571D"/>
    <w:rsid w:val="3CB37024"/>
    <w:rsid w:val="3D9E769D"/>
    <w:rsid w:val="3E5A1BA6"/>
    <w:rsid w:val="3EFE69D5"/>
    <w:rsid w:val="3FB26860"/>
    <w:rsid w:val="40104C12"/>
    <w:rsid w:val="413E57AF"/>
    <w:rsid w:val="418B7E6D"/>
    <w:rsid w:val="41CC2DBB"/>
    <w:rsid w:val="425A1883"/>
    <w:rsid w:val="42C52901"/>
    <w:rsid w:val="436E794B"/>
    <w:rsid w:val="44386A0C"/>
    <w:rsid w:val="44B85878"/>
    <w:rsid w:val="44CC7D0C"/>
    <w:rsid w:val="44D94BD0"/>
    <w:rsid w:val="45310096"/>
    <w:rsid w:val="459F4BAE"/>
    <w:rsid w:val="4669507C"/>
    <w:rsid w:val="46DF4173"/>
    <w:rsid w:val="470E1780"/>
    <w:rsid w:val="4867383D"/>
    <w:rsid w:val="48E46C3C"/>
    <w:rsid w:val="497C4F16"/>
    <w:rsid w:val="4AA4350E"/>
    <w:rsid w:val="4AB60164"/>
    <w:rsid w:val="4AD74352"/>
    <w:rsid w:val="4C9B5863"/>
    <w:rsid w:val="4D622825"/>
    <w:rsid w:val="4DAE09E4"/>
    <w:rsid w:val="4DD728CB"/>
    <w:rsid w:val="4EB62375"/>
    <w:rsid w:val="4EB86BA1"/>
    <w:rsid w:val="4EC618D9"/>
    <w:rsid w:val="4F4A531F"/>
    <w:rsid w:val="4F781E8C"/>
    <w:rsid w:val="4FDF015D"/>
    <w:rsid w:val="505353EE"/>
    <w:rsid w:val="50862C7D"/>
    <w:rsid w:val="51347EA6"/>
    <w:rsid w:val="5174386E"/>
    <w:rsid w:val="5189040D"/>
    <w:rsid w:val="519670ED"/>
    <w:rsid w:val="5208399B"/>
    <w:rsid w:val="527F1783"/>
    <w:rsid w:val="52DC2732"/>
    <w:rsid w:val="530107FD"/>
    <w:rsid w:val="532A7941"/>
    <w:rsid w:val="53852DC9"/>
    <w:rsid w:val="53AF3411"/>
    <w:rsid w:val="53FB308C"/>
    <w:rsid w:val="548E5012"/>
    <w:rsid w:val="54D765EE"/>
    <w:rsid w:val="55202DAA"/>
    <w:rsid w:val="55286102"/>
    <w:rsid w:val="554E3DBB"/>
    <w:rsid w:val="55DD513F"/>
    <w:rsid w:val="55F033F6"/>
    <w:rsid w:val="55F84DBF"/>
    <w:rsid w:val="56310FE7"/>
    <w:rsid w:val="56DF6C95"/>
    <w:rsid w:val="57105DE7"/>
    <w:rsid w:val="573214BA"/>
    <w:rsid w:val="57BB325E"/>
    <w:rsid w:val="57DE0CFA"/>
    <w:rsid w:val="589665ED"/>
    <w:rsid w:val="58AD6900"/>
    <w:rsid w:val="58DD0763"/>
    <w:rsid w:val="599E6993"/>
    <w:rsid w:val="59A321FB"/>
    <w:rsid w:val="5A146C55"/>
    <w:rsid w:val="5A393FE1"/>
    <w:rsid w:val="5A551748"/>
    <w:rsid w:val="5A9D19E3"/>
    <w:rsid w:val="5AAF59A9"/>
    <w:rsid w:val="5AE900E2"/>
    <w:rsid w:val="5B442B97"/>
    <w:rsid w:val="5B4623B2"/>
    <w:rsid w:val="5BDE39BF"/>
    <w:rsid w:val="5C642116"/>
    <w:rsid w:val="5C8C6F77"/>
    <w:rsid w:val="5CD21236"/>
    <w:rsid w:val="5CD32DF8"/>
    <w:rsid w:val="5CFB3BFE"/>
    <w:rsid w:val="5DEB5F1F"/>
    <w:rsid w:val="5E17330B"/>
    <w:rsid w:val="5E2F1F21"/>
    <w:rsid w:val="5EC40C4A"/>
    <w:rsid w:val="5EF70E6F"/>
    <w:rsid w:val="5F1C0A86"/>
    <w:rsid w:val="5F311690"/>
    <w:rsid w:val="5FA64D4F"/>
    <w:rsid w:val="5FB7255D"/>
    <w:rsid w:val="604A15F4"/>
    <w:rsid w:val="606E6A75"/>
    <w:rsid w:val="60DB227B"/>
    <w:rsid w:val="61DC62AA"/>
    <w:rsid w:val="62262A86"/>
    <w:rsid w:val="62483940"/>
    <w:rsid w:val="62E831F5"/>
    <w:rsid w:val="63251ED3"/>
    <w:rsid w:val="638E1826"/>
    <w:rsid w:val="64405216"/>
    <w:rsid w:val="64794284"/>
    <w:rsid w:val="648D1ADE"/>
    <w:rsid w:val="64DA2B5A"/>
    <w:rsid w:val="652E32C1"/>
    <w:rsid w:val="65B85280"/>
    <w:rsid w:val="66047F6B"/>
    <w:rsid w:val="664F0CB2"/>
    <w:rsid w:val="67584625"/>
    <w:rsid w:val="677C33D4"/>
    <w:rsid w:val="68390C66"/>
    <w:rsid w:val="683B0414"/>
    <w:rsid w:val="686F7E78"/>
    <w:rsid w:val="69182115"/>
    <w:rsid w:val="696A62C2"/>
    <w:rsid w:val="69D7230D"/>
    <w:rsid w:val="69F054D9"/>
    <w:rsid w:val="6A1C5DDE"/>
    <w:rsid w:val="6A7D43A3"/>
    <w:rsid w:val="6AA656A7"/>
    <w:rsid w:val="6AC56475"/>
    <w:rsid w:val="6AE12B83"/>
    <w:rsid w:val="6B120F8F"/>
    <w:rsid w:val="6BA62F71"/>
    <w:rsid w:val="6BB34520"/>
    <w:rsid w:val="6BB42046"/>
    <w:rsid w:val="6BC96073"/>
    <w:rsid w:val="6BEA3CBA"/>
    <w:rsid w:val="6C04142F"/>
    <w:rsid w:val="6C663340"/>
    <w:rsid w:val="6CF92406"/>
    <w:rsid w:val="6D5238C5"/>
    <w:rsid w:val="6D6110D5"/>
    <w:rsid w:val="6ED9314B"/>
    <w:rsid w:val="6F1F75AF"/>
    <w:rsid w:val="6F5C54A9"/>
    <w:rsid w:val="6F9D176F"/>
    <w:rsid w:val="704936A5"/>
    <w:rsid w:val="711C7E34"/>
    <w:rsid w:val="7146610F"/>
    <w:rsid w:val="716D5171"/>
    <w:rsid w:val="71B903B6"/>
    <w:rsid w:val="71D62D16"/>
    <w:rsid w:val="722515A8"/>
    <w:rsid w:val="724853B3"/>
    <w:rsid w:val="728E35F1"/>
    <w:rsid w:val="7372081D"/>
    <w:rsid w:val="739F538A"/>
    <w:rsid w:val="741102D0"/>
    <w:rsid w:val="745D33A4"/>
    <w:rsid w:val="74884354"/>
    <w:rsid w:val="756D573F"/>
    <w:rsid w:val="762757AD"/>
    <w:rsid w:val="771D4568"/>
    <w:rsid w:val="77B91110"/>
    <w:rsid w:val="77BA5E4A"/>
    <w:rsid w:val="77C47AB5"/>
    <w:rsid w:val="77DF4EA7"/>
    <w:rsid w:val="7808174F"/>
    <w:rsid w:val="78702856"/>
    <w:rsid w:val="78B418D7"/>
    <w:rsid w:val="78B51048"/>
    <w:rsid w:val="793211B1"/>
    <w:rsid w:val="79352A18"/>
    <w:rsid w:val="79566B90"/>
    <w:rsid w:val="79AB2CDA"/>
    <w:rsid w:val="79FA5A10"/>
    <w:rsid w:val="7A5549F4"/>
    <w:rsid w:val="7A613399"/>
    <w:rsid w:val="7A6F1F5A"/>
    <w:rsid w:val="7A8304FA"/>
    <w:rsid w:val="7A8C0BF0"/>
    <w:rsid w:val="7AA00365"/>
    <w:rsid w:val="7AB21E46"/>
    <w:rsid w:val="7AED2E7F"/>
    <w:rsid w:val="7B5178B1"/>
    <w:rsid w:val="7B8F2ECF"/>
    <w:rsid w:val="7B9D6653"/>
    <w:rsid w:val="7BE1680D"/>
    <w:rsid w:val="7BE424D4"/>
    <w:rsid w:val="7C605FFE"/>
    <w:rsid w:val="7CA37C99"/>
    <w:rsid w:val="7CA65445"/>
    <w:rsid w:val="7CA67C01"/>
    <w:rsid w:val="7CE53CE8"/>
    <w:rsid w:val="7E33504C"/>
    <w:rsid w:val="7ED20D09"/>
    <w:rsid w:val="7F067EEF"/>
    <w:rsid w:val="7F323556"/>
    <w:rsid w:val="7F353D8D"/>
    <w:rsid w:val="7FC92C42"/>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qFormat/>
    <w:uiPriority w:val="0"/>
    <w:pPr>
      <w:keepNext/>
      <w:keepLines/>
      <w:spacing w:before="260" w:after="260" w:line="413" w:lineRule="auto"/>
      <w:outlineLvl w:val="2"/>
    </w:pPr>
    <w:rPr>
      <w:b/>
      <w:sz w:val="32"/>
    </w:rPr>
  </w:style>
  <w:style w:type="paragraph" w:styleId="8">
    <w:name w:val="heading 4"/>
    <w:basedOn w:val="1"/>
    <w:next w:val="1"/>
    <w:link w:val="3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1"/>
    <w:basedOn w:val="3"/>
    <w:next w:val="4"/>
    <w:qFormat/>
    <w:uiPriority w:val="99"/>
    <w:pPr>
      <w:ind w:firstLine="420" w:firstLineChars="200"/>
    </w:pPr>
    <w:rPr>
      <w:rFonts w:ascii="Calibri" w:hAnsi="Calibri" w:eastAsia="仿宋" w:cs="Calibri"/>
      <w:sz w:val="21"/>
      <w:szCs w:val="21"/>
    </w:rPr>
  </w:style>
  <w:style w:type="paragraph" w:customStyle="1" w:styleId="3">
    <w:name w:val="Body Text Indent1"/>
    <w:basedOn w:val="1"/>
    <w:qFormat/>
    <w:uiPriority w:val="99"/>
    <w:pPr>
      <w:spacing w:after="120"/>
      <w:ind w:left="420" w:leftChars="200"/>
    </w:pPr>
    <w:rPr>
      <w:rFonts w:eastAsia="仿宋_GB2312"/>
      <w:sz w:val="32"/>
      <w:szCs w:val="32"/>
    </w:rPr>
  </w:style>
  <w:style w:type="paragraph" w:customStyle="1" w:styleId="4">
    <w:name w:val="0"/>
    <w:basedOn w:val="1"/>
    <w:qFormat/>
    <w:uiPriority w:val="99"/>
    <w:pPr>
      <w:widowControl/>
      <w:snapToGrid w:val="0"/>
    </w:pPr>
    <w:rPr>
      <w:kern w:val="0"/>
    </w:rPr>
  </w:style>
  <w:style w:type="paragraph" w:styleId="9">
    <w:name w:val="Body Text Indent"/>
    <w:basedOn w:val="1"/>
    <w:qFormat/>
    <w:uiPriority w:val="0"/>
    <w:pPr>
      <w:spacing w:after="120"/>
      <w:ind w:left="420" w:leftChars="200"/>
    </w:pPr>
  </w:style>
  <w:style w:type="paragraph" w:styleId="10">
    <w:name w:val="toc 3"/>
    <w:basedOn w:val="1"/>
    <w:next w:val="1"/>
    <w:unhideWhenUsed/>
    <w:qFormat/>
    <w:uiPriority w:val="39"/>
    <w:pPr>
      <w:widowControl/>
      <w:tabs>
        <w:tab w:val="right" w:leader="dot" w:pos="8296"/>
      </w:tabs>
      <w:spacing w:after="100" w:line="540" w:lineRule="exact"/>
      <w:ind w:left="442"/>
      <w:jc w:val="left"/>
    </w:pPr>
    <w:rPr>
      <w:rFonts w:asciiTheme="minorHAnsi" w:hAnsiTheme="minorHAnsi" w:eastAsiaTheme="minorEastAsia"/>
      <w:kern w:val="0"/>
      <w:sz w:val="22"/>
      <w:szCs w:val="22"/>
    </w:rPr>
  </w:style>
  <w:style w:type="paragraph" w:styleId="11">
    <w:name w:val="footer"/>
    <w:basedOn w:val="1"/>
    <w:link w:val="33"/>
    <w:qFormat/>
    <w:uiPriority w:val="99"/>
    <w:pPr>
      <w:tabs>
        <w:tab w:val="center" w:pos="4153"/>
        <w:tab w:val="right" w:pos="8306"/>
      </w:tabs>
      <w:snapToGrid w:val="0"/>
      <w:jc w:val="left"/>
    </w:pPr>
    <w:rPr>
      <w:sz w:val="18"/>
    </w:rPr>
  </w:style>
  <w:style w:type="paragraph" w:styleId="12">
    <w:name w:val="header"/>
    <w:basedOn w:val="1"/>
    <w:link w:val="3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pPr>
      <w:tabs>
        <w:tab w:val="right" w:leader="dot" w:pos="8296"/>
      </w:tabs>
      <w:spacing w:line="560" w:lineRule="exact"/>
    </w:pPr>
  </w:style>
  <w:style w:type="paragraph" w:styleId="14">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5">
    <w:name w:val="Normal (Web)"/>
    <w:basedOn w:val="1"/>
    <w:qFormat/>
    <w:uiPriority w:val="99"/>
    <w:pPr>
      <w:spacing w:beforeAutospacing="1" w:afterAutospacing="1"/>
      <w:jc w:val="left"/>
    </w:pPr>
    <w:rPr>
      <w:kern w:val="0"/>
      <w:sz w:val="24"/>
    </w:rPr>
  </w:style>
  <w:style w:type="paragraph" w:styleId="16">
    <w:name w:val="Title"/>
    <w:basedOn w:val="1"/>
    <w:link w:val="27"/>
    <w:qFormat/>
    <w:uiPriority w:val="0"/>
    <w:pPr>
      <w:spacing w:before="240" w:after="60"/>
      <w:jc w:val="left"/>
      <w:outlineLvl w:val="0"/>
    </w:pPr>
    <w:rPr>
      <w:rFonts w:ascii="Arial" w:hAnsi="Arial"/>
      <w:b/>
      <w:sz w:val="32"/>
    </w:rPr>
  </w:style>
  <w:style w:type="paragraph" w:styleId="17">
    <w:name w:val="Body Text First Indent 2"/>
    <w:basedOn w:val="9"/>
    <w:qFormat/>
    <w:uiPriority w:val="0"/>
    <w:pPr>
      <w:ind w:firstLine="420" w:firstLineChars="200"/>
    </w:pPr>
  </w:style>
  <w:style w:type="character" w:styleId="20">
    <w:name w:val="Strong"/>
    <w:basedOn w:val="19"/>
    <w:qFormat/>
    <w:uiPriority w:val="0"/>
    <w:rPr>
      <w:b/>
      <w:bCs/>
    </w:rPr>
  </w:style>
  <w:style w:type="character" w:styleId="21">
    <w:name w:val="Emphasis"/>
    <w:basedOn w:val="19"/>
    <w:qFormat/>
    <w:uiPriority w:val="0"/>
    <w:rPr>
      <w:i/>
      <w:iCs/>
    </w:rPr>
  </w:style>
  <w:style w:type="character" w:styleId="22">
    <w:name w:val="Hyperlink"/>
    <w:basedOn w:val="19"/>
    <w:qFormat/>
    <w:uiPriority w:val="99"/>
    <w:rPr>
      <w:color w:val="0000FF"/>
      <w:u w:val="single"/>
    </w:rPr>
  </w:style>
  <w:style w:type="character" w:customStyle="1" w:styleId="23">
    <w:name w:val="font11"/>
    <w:basedOn w:val="19"/>
    <w:qFormat/>
    <w:uiPriority w:val="0"/>
    <w:rPr>
      <w:rFonts w:hint="eastAsia" w:ascii="宋体" w:hAnsi="宋体" w:eastAsia="宋体" w:cs="宋体"/>
      <w:color w:val="000000"/>
      <w:sz w:val="36"/>
      <w:szCs w:val="36"/>
      <w:u w:val="none"/>
      <w:vertAlign w:val="subscript"/>
    </w:rPr>
  </w:style>
  <w:style w:type="character" w:customStyle="1" w:styleId="24">
    <w:name w:val="font31"/>
    <w:basedOn w:val="19"/>
    <w:qFormat/>
    <w:uiPriority w:val="0"/>
    <w:rPr>
      <w:rFonts w:hint="eastAsia" w:ascii="宋体" w:hAnsi="宋体" w:eastAsia="宋体" w:cs="宋体"/>
      <w:color w:val="000000"/>
      <w:sz w:val="36"/>
      <w:szCs w:val="36"/>
      <w:u w:val="none"/>
      <w:vertAlign w:val="superscript"/>
    </w:rPr>
  </w:style>
  <w:style w:type="character" w:customStyle="1" w:styleId="25">
    <w:name w:val="font41"/>
    <w:basedOn w:val="19"/>
    <w:qFormat/>
    <w:uiPriority w:val="0"/>
    <w:rPr>
      <w:rFonts w:hint="eastAsia" w:ascii="宋体" w:hAnsi="宋体" w:eastAsia="宋体" w:cs="宋体"/>
      <w:color w:val="000000"/>
      <w:sz w:val="30"/>
      <w:szCs w:val="30"/>
      <w:u w:val="none"/>
      <w:vertAlign w:val="superscript"/>
    </w:rPr>
  </w:style>
  <w:style w:type="paragraph" w:customStyle="1" w:styleId="26">
    <w:name w:val="WPSOffice手动目录 1"/>
    <w:qFormat/>
    <w:uiPriority w:val="0"/>
    <w:rPr>
      <w:rFonts w:ascii="Times New Roman" w:hAnsi="Times New Roman" w:eastAsia="宋体" w:cs="Times New Roman"/>
      <w:lang w:val="en-US" w:eastAsia="zh-CN" w:bidi="ar-SA"/>
    </w:rPr>
  </w:style>
  <w:style w:type="character" w:customStyle="1" w:styleId="27">
    <w:name w:val="标题 字符"/>
    <w:basedOn w:val="19"/>
    <w:link w:val="16"/>
    <w:qFormat/>
    <w:uiPriority w:val="0"/>
    <w:rPr>
      <w:rFonts w:ascii="Arial" w:hAnsi="Arial"/>
      <w:b/>
      <w:kern w:val="2"/>
      <w:sz w:val="32"/>
      <w:szCs w:val="24"/>
    </w:rPr>
  </w:style>
  <w:style w:type="paragraph" w:styleId="28">
    <w:name w:val="List Paragraph"/>
    <w:basedOn w:val="1"/>
    <w:unhideWhenUsed/>
    <w:qFormat/>
    <w:uiPriority w:val="99"/>
    <w:pPr>
      <w:ind w:firstLine="420" w:firstLineChars="200"/>
    </w:pPr>
  </w:style>
  <w:style w:type="character" w:customStyle="1" w:styleId="29">
    <w:name w:val="标题 1 字符"/>
    <w:basedOn w:val="19"/>
    <w:link w:val="5"/>
    <w:qFormat/>
    <w:uiPriority w:val="0"/>
    <w:rPr>
      <w:b/>
      <w:bCs/>
      <w:kern w:val="44"/>
      <w:sz w:val="44"/>
      <w:szCs w:val="44"/>
    </w:rPr>
  </w:style>
  <w:style w:type="paragraph" w:customStyle="1" w:styleId="30">
    <w:name w:val="TOC Heading"/>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31">
    <w:name w:val="标题 2 字符"/>
    <w:basedOn w:val="19"/>
    <w:link w:val="6"/>
    <w:qFormat/>
    <w:uiPriority w:val="0"/>
    <w:rPr>
      <w:rFonts w:asciiTheme="majorHAnsi" w:hAnsiTheme="majorHAnsi" w:eastAsiaTheme="majorEastAsia" w:cstheme="majorBidi"/>
      <w:b/>
      <w:bCs/>
      <w:kern w:val="2"/>
      <w:sz w:val="32"/>
      <w:szCs w:val="32"/>
    </w:rPr>
  </w:style>
  <w:style w:type="character" w:customStyle="1" w:styleId="32">
    <w:name w:val="标题 4 字符"/>
    <w:basedOn w:val="19"/>
    <w:link w:val="8"/>
    <w:qFormat/>
    <w:uiPriority w:val="0"/>
    <w:rPr>
      <w:rFonts w:asciiTheme="majorHAnsi" w:hAnsiTheme="majorHAnsi" w:eastAsiaTheme="majorEastAsia" w:cstheme="majorBidi"/>
      <w:b/>
      <w:bCs/>
      <w:kern w:val="2"/>
      <w:sz w:val="28"/>
      <w:szCs w:val="28"/>
    </w:rPr>
  </w:style>
  <w:style w:type="character" w:customStyle="1" w:styleId="33">
    <w:name w:val="页脚 字符"/>
    <w:basedOn w:val="19"/>
    <w:link w:val="11"/>
    <w:qFormat/>
    <w:uiPriority w:val="99"/>
    <w:rPr>
      <w:kern w:val="2"/>
      <w:sz w:val="18"/>
      <w:szCs w:val="24"/>
    </w:rPr>
  </w:style>
  <w:style w:type="character" w:customStyle="1" w:styleId="34">
    <w:name w:val="页眉 字符"/>
    <w:basedOn w:val="19"/>
    <w:link w:val="12"/>
    <w:qFormat/>
    <w:uiPriority w:val="99"/>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45</Pages>
  <Words>11189</Words>
  <Characters>7877</Characters>
  <Lines>65</Lines>
  <Paragraphs>38</Paragraphs>
  <TotalTime>54</TotalTime>
  <ScaleCrop>false</ScaleCrop>
  <LinksUpToDate>false</LinksUpToDate>
  <CharactersWithSpaces>19028</CharactersWithSpaces>
  <Application>WPS Office_11.8.2.1120_F1E327BC-269C-435d-A152-05C5408002CA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2023-09-26T15:41:00Z</dcterms:created>
  <dc:creator>Dell</dc:creator>
  <cp:lastModifiedBy>user</cp:lastModifiedBy>
  <cp:lastPrinted>2023-10-23T10:11:00Z</cp:lastPrinted>
  <dcterms:modified xsi:type="dcterms:W3CDTF">2023-11-22T15:28:59Z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2052-11.8.2.1120</vt:lpwstr>
  </property>
  <property fmtid="{D5CDD505-2E9C-101B-9397-08002B2CF9AE}" pid="3" name="ICV">
    <vt:lpwstr>B8354908669A8DF8BBAD5D657736BF38</vt:lpwstr>
  </property>
</Properties>
</file>